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2"/>
          <w:szCs w:val="12"/>
          <w:b w:val="1"/>
          <w:bCs w:val="1"/>
          <w:color w:val="auto"/>
        </w:rPr>
        <w:t>Exhibit 99.2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53340</wp:posOffset>
            </wp:positionV>
            <wp:extent cx="569214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92140" cy="2286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110490</wp:posOffset>
            </wp:positionV>
            <wp:extent cx="56921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92140" cy="5715"/>
                    </a:xfrm>
                    <a:prstGeom prst="rect">
                      <a:avLst/>
                    </a:prstGeom>
                    <a:noFill/>
                  </pic:spPr>
                </pic:pic>
              </a:graphicData>
            </a:graphic>
          </wp:anchor>
        </w:drawing>
      </w:r>
    </w:p>
    <w:p>
      <w:pPr>
        <w:spacing w:after="0" w:line="198"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139"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56"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1"/>
          <w:szCs w:val="11"/>
          <w:b w:val="1"/>
          <w:bCs w:val="1"/>
          <w:color w:val="auto"/>
        </w:rPr>
        <w:t>WASHINGTON, D.C. 20549</w:t>
      </w:r>
    </w:p>
    <w:p>
      <w:pPr>
        <w:spacing w:after="0" w:line="127"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150"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3"/>
          <w:szCs w:val="13"/>
          <w:b w:val="1"/>
          <w:bCs w:val="1"/>
          <w:color w:val="auto"/>
        </w:rPr>
        <w:t>CURRENT REPORT</w:t>
      </w:r>
    </w:p>
    <w:p>
      <w:pPr>
        <w:spacing w:after="0" w:line="139"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3"/>
          <w:szCs w:val="13"/>
          <w:b w:val="1"/>
          <w:bCs w:val="1"/>
          <w:color w:val="auto"/>
        </w:rPr>
        <w:t>Pursuant to Section 13 or 15(d) of the Securities Exchange Act of 1934</w:t>
      </w:r>
    </w:p>
    <w:p>
      <w:pPr>
        <w:spacing w:after="0" w:line="144"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1"/>
          <w:szCs w:val="11"/>
          <w:color w:val="auto"/>
        </w:rPr>
        <w:t xml:space="preserve">Date of Report (Date of earliest event reported): </w:t>
      </w:r>
      <w:r>
        <w:rPr>
          <w:rFonts w:ascii="Times New Roman" w:cs="Times New Roman" w:eastAsia="Times New Roman" w:hAnsi="Times New Roman"/>
          <w:sz w:val="11"/>
          <w:szCs w:val="11"/>
          <w:b w:val="1"/>
          <w:bCs w:val="1"/>
          <w:color w:val="auto"/>
        </w:rPr>
        <w:t>June 17, 2024</w:t>
      </w:r>
    </w:p>
    <w:p>
      <w:pPr>
        <w:spacing w:after="0" w:line="127"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20"/>
          <w:szCs w:val="20"/>
          <w:b w:val="1"/>
          <w:bCs w:val="1"/>
          <w:color w:val="auto"/>
        </w:rPr>
        <w:t>PTC THERAPEUTICS, INC.</w:t>
      </w:r>
    </w:p>
    <w:p>
      <w:pPr>
        <w:spacing w:after="0" w:line="158"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1"/>
          <w:szCs w:val="11"/>
          <w:color w:val="auto"/>
        </w:rPr>
        <w:t>(Exact Name of Company as Specified in Charter)</w:t>
      </w:r>
    </w:p>
    <w:p>
      <w:pPr>
        <w:sectPr>
          <w:pgSz w:w="11900" w:h="16838" w:orient="portrait"/>
          <w:cols w:equalWidth="0" w:num="1">
            <w:col w:w="9660"/>
          </w:cols>
          <w:pgMar w:left="1440" w:top="278" w:right="799" w:bottom="1440" w:gutter="0" w:footer="0" w:header="0"/>
        </w:sectPr>
      </w:pPr>
    </w:p>
    <w:p>
      <w:pPr>
        <w:spacing w:after="0" w:line="151"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16"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0"/>
          <w:szCs w:val="10"/>
          <w:color w:val="auto"/>
        </w:rPr>
        <w:t>(State or Other Jurisdiction</w:t>
      </w:r>
    </w:p>
    <w:p>
      <w:pPr>
        <w:spacing w:after="0" w:line="20"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11"/>
          <w:szCs w:val="11"/>
          <w:color w:val="auto"/>
        </w:rPr>
        <w:t>of Incorporation)</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1"/>
          <w:szCs w:val="11"/>
          <w:b w:val="1"/>
          <w:bCs w:val="1"/>
          <w:color w:val="auto"/>
        </w:rPr>
        <w:t>001-35969</w:t>
      </w:r>
    </w:p>
    <w:p>
      <w:pPr>
        <w:spacing w:after="0" w:line="16"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0"/>
          <w:szCs w:val="10"/>
          <w:color w:val="auto"/>
        </w:rPr>
        <w:t>(Commission</w:t>
      </w:r>
    </w:p>
    <w:p>
      <w:pPr>
        <w:spacing w:after="0" w:line="20"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0"/>
          <w:szCs w:val="10"/>
          <w:color w:val="auto"/>
        </w:rPr>
        <w:t>File Number)</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1"/>
          <w:szCs w:val="11"/>
          <w:b w:val="1"/>
          <w:bCs w:val="1"/>
          <w:color w:val="auto"/>
        </w:rPr>
        <w:t>04-3416587</w:t>
      </w:r>
    </w:p>
    <w:p>
      <w:pPr>
        <w:spacing w:after="0" w:line="16"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1"/>
          <w:szCs w:val="11"/>
          <w:color w:val="auto"/>
        </w:rPr>
        <w:t>(IRS Employer</w:t>
      </w:r>
    </w:p>
    <w:p>
      <w:pPr>
        <w:spacing w:after="0" w:line="9"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0"/>
          <w:szCs w:val="10"/>
          <w:color w:val="auto"/>
        </w:rPr>
        <w:t>Identification No.)</w:t>
      </w:r>
    </w:p>
    <w:p>
      <w:pPr>
        <w:spacing w:after="0" w:line="165" w:lineRule="exact"/>
        <w:rPr>
          <w:sz w:val="24"/>
          <w:szCs w:val="24"/>
          <w:color w:val="auto"/>
        </w:rPr>
      </w:pPr>
    </w:p>
    <w:p>
      <w:pPr>
        <w:sectPr>
          <w:pgSz w:w="11900" w:h="16838" w:orient="portrait"/>
          <w:cols w:equalWidth="0" w:num="3">
            <w:col w:w="3460" w:space="720"/>
            <w:col w:w="2240" w:space="720"/>
            <w:col w:w="2520"/>
          </w:cols>
          <w:pgMar w:left="1440" w:top="278" w:right="799" w:bottom="1440" w:gutter="0" w:footer="0" w:header="0"/>
          <w:type w:val="continuous"/>
        </w:sectPr>
      </w:pPr>
    </w:p>
    <w:p>
      <w:pPr>
        <w:jc w:val="center"/>
        <w:ind w:right="400"/>
        <w:spacing w:after="0"/>
        <w:rPr>
          <w:sz w:val="20"/>
          <w:szCs w:val="20"/>
          <w:color w:val="auto"/>
        </w:rPr>
      </w:pPr>
      <w:r>
        <w:rPr>
          <w:rFonts w:ascii="Times New Roman" w:cs="Times New Roman" w:eastAsia="Times New Roman" w:hAnsi="Times New Roman"/>
          <w:sz w:val="11"/>
          <w:szCs w:val="11"/>
          <w:b w:val="1"/>
          <w:bCs w:val="1"/>
          <w:color w:val="auto"/>
        </w:rPr>
        <w:t>500 Warren Corporate Center Drive</w:t>
      </w:r>
    </w:p>
    <w:p>
      <w:pPr>
        <w:spacing w:after="0" w:line="16"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1"/>
          <w:szCs w:val="11"/>
          <w:b w:val="1"/>
          <w:bCs w:val="1"/>
          <w:color w:val="auto"/>
        </w:rPr>
        <w:t>Warren, NJ</w:t>
      </w:r>
    </w:p>
    <w:p>
      <w:pPr>
        <w:spacing w:after="0" w:line="9"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0"/>
          <w:szCs w:val="10"/>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jc w:val="center"/>
        <w:ind w:right="3000"/>
        <w:spacing w:after="0"/>
        <w:rPr>
          <w:sz w:val="20"/>
          <w:szCs w:val="20"/>
          <w:color w:val="auto"/>
        </w:rPr>
      </w:pPr>
      <w:r>
        <w:rPr>
          <w:rFonts w:ascii="Times New Roman" w:cs="Times New Roman" w:eastAsia="Times New Roman" w:hAnsi="Times New Roman"/>
          <w:sz w:val="11"/>
          <w:szCs w:val="11"/>
          <w:b w:val="1"/>
          <w:bCs w:val="1"/>
          <w:color w:val="auto"/>
        </w:rPr>
        <w:t>07059</w:t>
      </w:r>
    </w:p>
    <w:p>
      <w:pPr>
        <w:spacing w:after="0" w:line="16" w:lineRule="exact"/>
        <w:rPr>
          <w:sz w:val="24"/>
          <w:szCs w:val="24"/>
          <w:color w:val="auto"/>
        </w:rPr>
      </w:pPr>
    </w:p>
    <w:p>
      <w:pPr>
        <w:jc w:val="center"/>
        <w:ind w:right="3000"/>
        <w:spacing w:after="0"/>
        <w:rPr>
          <w:sz w:val="20"/>
          <w:szCs w:val="20"/>
          <w:color w:val="auto"/>
        </w:rPr>
      </w:pPr>
      <w:r>
        <w:rPr>
          <w:rFonts w:ascii="Times New Roman" w:cs="Times New Roman" w:eastAsia="Times New Roman" w:hAnsi="Times New Roman"/>
          <w:sz w:val="10"/>
          <w:szCs w:val="10"/>
          <w:color w:val="auto"/>
        </w:rPr>
        <w:t>(Zip Code)</w:t>
      </w:r>
    </w:p>
    <w:p>
      <w:pPr>
        <w:spacing w:after="0" w:line="148" w:lineRule="exact"/>
        <w:rPr>
          <w:sz w:val="24"/>
          <w:szCs w:val="24"/>
          <w:color w:val="auto"/>
        </w:rPr>
      </w:pPr>
    </w:p>
    <w:p>
      <w:pPr>
        <w:sectPr>
          <w:pgSz w:w="11900" w:h="16838" w:orient="portrait"/>
          <w:cols w:equalWidth="0" w:num="2">
            <w:col w:w="5480" w:space="720"/>
            <w:col w:w="3460"/>
          </w:cols>
          <w:pgMar w:left="1440" w:top="278" w:right="799" w:bottom="1440" w:gutter="0" w:footer="0" w:header="0"/>
          <w:type w:val="continuous"/>
        </w:sectPr>
      </w:pPr>
    </w:p>
    <w:p>
      <w:pPr>
        <w:jc w:val="center"/>
        <w:ind w:right="660"/>
        <w:spacing w:after="0"/>
        <w:rPr>
          <w:sz w:val="20"/>
          <w:szCs w:val="20"/>
          <w:color w:val="auto"/>
        </w:rPr>
      </w:pPr>
      <w:r>
        <w:rPr>
          <w:rFonts w:ascii="Times New Roman" w:cs="Times New Roman" w:eastAsia="Times New Roman" w:hAnsi="Times New Roman"/>
          <w:sz w:val="11"/>
          <w:szCs w:val="11"/>
          <w:color w:val="auto"/>
        </w:rPr>
        <w:t xml:space="preserve">Registrant’s telephone number, including area code: </w:t>
      </w:r>
      <w:r>
        <w:rPr>
          <w:rFonts w:ascii="Times New Roman" w:cs="Times New Roman" w:eastAsia="Times New Roman" w:hAnsi="Times New Roman"/>
          <w:sz w:val="11"/>
          <w:szCs w:val="11"/>
          <w:b w:val="1"/>
          <w:bCs w:val="1"/>
          <w:color w:val="auto"/>
        </w:rPr>
        <w:t>(908) 222-7000</w:t>
      </w:r>
    </w:p>
    <w:p>
      <w:pPr>
        <w:spacing w:after="0" w:line="144"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1"/>
          <w:szCs w:val="11"/>
          <w:b w:val="1"/>
          <w:bCs w:val="1"/>
          <w:color w:val="auto"/>
        </w:rPr>
        <w:t>Not applicable</w:t>
      </w:r>
    </w:p>
    <w:p>
      <w:pPr>
        <w:spacing w:after="0" w:line="16"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1"/>
          <w:szCs w:val="11"/>
          <w:color w:val="auto"/>
        </w:rPr>
        <w:t>(Former Name or Former Address, if Changed Since Last Report)</w:t>
      </w:r>
    </w:p>
    <w:p>
      <w:pPr>
        <w:spacing w:after="0" w:line="136"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0"/>
          <w:szCs w:val="10"/>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0"/>
          <w:szCs w:val="10"/>
          <w:i w:val="1"/>
          <w:iCs w:val="1"/>
          <w:color w:val="auto"/>
        </w:rPr>
        <w:t>see</w:t>
      </w:r>
      <w:r>
        <w:rPr>
          <w:rFonts w:ascii="Times New Roman" w:cs="Times New Roman" w:eastAsia="Times New Roman" w:hAnsi="Times New Roman"/>
          <w:sz w:val="10"/>
          <w:szCs w:val="10"/>
          <w:color w:val="auto"/>
        </w:rPr>
        <w:t xml:space="preserve"> General Instruction A.2.</w:t>
      </w:r>
    </w:p>
    <w:p>
      <w:pPr>
        <w:spacing w:after="0" w:line="2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1"/>
          <w:szCs w:val="11"/>
          <w:color w:val="auto"/>
        </w:rPr>
        <w:t>below):</w:t>
      </w:r>
    </w:p>
    <w:p>
      <w:pPr>
        <w:spacing w:after="0" w:line="138" w:lineRule="exact"/>
        <w:rPr>
          <w:sz w:val="24"/>
          <w:szCs w:val="24"/>
          <w:color w:val="auto"/>
        </w:rPr>
      </w:pPr>
    </w:p>
    <w:p>
      <w:pPr>
        <w:ind w:left="720" w:hanging="266"/>
        <w:spacing w:after="0"/>
        <w:tabs>
          <w:tab w:leader="none" w:pos="72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Written communications pursuant to Rule 425 under the Securities Act (17 CFR 230.425)</w:t>
      </w:r>
    </w:p>
    <w:p>
      <w:pPr>
        <w:spacing w:after="0" w:line="143" w:lineRule="exact"/>
        <w:rPr>
          <w:rFonts w:ascii="MS PGothic" w:cs="MS PGothic" w:eastAsia="MS PGothic" w:hAnsi="MS PGothic"/>
          <w:sz w:val="11"/>
          <w:szCs w:val="11"/>
          <w:color w:val="auto"/>
        </w:rPr>
      </w:pPr>
    </w:p>
    <w:p>
      <w:pPr>
        <w:ind w:left="720" w:hanging="266"/>
        <w:spacing w:after="0"/>
        <w:tabs>
          <w:tab w:leader="none" w:pos="72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Soliciting material pursuant to Rule 14a-12 under the Exchange Act (17 CFR 240.14a-12)</w:t>
      </w:r>
    </w:p>
    <w:p>
      <w:pPr>
        <w:spacing w:after="0" w:line="143" w:lineRule="exact"/>
        <w:rPr>
          <w:rFonts w:ascii="MS PGothic" w:cs="MS PGothic" w:eastAsia="MS PGothic" w:hAnsi="MS PGothic"/>
          <w:sz w:val="11"/>
          <w:szCs w:val="11"/>
          <w:color w:val="auto"/>
        </w:rPr>
      </w:pPr>
    </w:p>
    <w:p>
      <w:pPr>
        <w:ind w:left="720" w:hanging="266"/>
        <w:spacing w:after="0"/>
        <w:tabs>
          <w:tab w:leader="none" w:pos="72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14d-2(b) under the Exchange Act (17 CFR 240.14d-2(b))</w:t>
      </w:r>
    </w:p>
    <w:p>
      <w:pPr>
        <w:spacing w:after="0" w:line="143" w:lineRule="exact"/>
        <w:rPr>
          <w:rFonts w:ascii="MS PGothic" w:cs="MS PGothic" w:eastAsia="MS PGothic" w:hAnsi="MS PGothic"/>
          <w:sz w:val="11"/>
          <w:szCs w:val="11"/>
          <w:color w:val="auto"/>
        </w:rPr>
      </w:pPr>
    </w:p>
    <w:p>
      <w:pPr>
        <w:ind w:left="720" w:hanging="266"/>
        <w:spacing w:after="0"/>
        <w:tabs>
          <w:tab w:leader="none" w:pos="72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13e-4(c) under the Exchange Act (17 CFR 240.13e-4(c))</w:t>
      </w:r>
    </w:p>
    <w:p>
      <w:pPr>
        <w:spacing w:after="0" w:line="142" w:lineRule="exact"/>
        <w:rPr>
          <w:sz w:val="24"/>
          <w:szCs w:val="24"/>
          <w:color w:val="auto"/>
        </w:rPr>
      </w:pPr>
    </w:p>
    <w:tbl>
      <w:tblPr>
        <w:tblLayout w:type="fixed"/>
        <w:tblInd w:w="20" w:type="dxa"/>
        <w:tblCellMar>
          <w:top w:w="0" w:type="dxa"/>
          <w:left w:w="0" w:type="dxa"/>
          <w:bottom w:w="0" w:type="dxa"/>
          <w:right w:w="0" w:type="dxa"/>
        </w:tblCellMar>
      </w:tblPr>
      <w:tr>
        <w:trPr>
          <w:trHeight w:val="142"/>
        </w:trPr>
        <w:tc>
          <w:tcPr>
            <w:tcW w:w="36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Securities registered pursuant to Section 12(b) of the Act:</w:t>
            </w:r>
          </w:p>
        </w:tc>
        <w:tc>
          <w:tcPr>
            <w:tcW w:w="1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0" w:type="dxa"/>
            <w:vAlign w:val="bottom"/>
          </w:tcPr>
          <w:p>
            <w:pPr>
              <w:spacing w:after="0"/>
              <w:rPr>
                <w:sz w:val="12"/>
                <w:szCs w:val="12"/>
                <w:color w:val="auto"/>
              </w:rPr>
            </w:pPr>
          </w:p>
        </w:tc>
      </w:tr>
      <w:tr>
        <w:trPr>
          <w:trHeight w:val="279"/>
        </w:trPr>
        <w:tc>
          <w:tcPr>
            <w:tcW w:w="20" w:type="dxa"/>
            <w:vAlign w:val="bottom"/>
          </w:tcPr>
          <w:p>
            <w:pPr>
              <w:spacing w:after="0"/>
              <w:rPr>
                <w:sz w:val="24"/>
                <w:szCs w:val="24"/>
                <w:color w:val="auto"/>
              </w:rPr>
            </w:pPr>
          </w:p>
        </w:tc>
        <w:tc>
          <w:tcPr>
            <w:tcW w:w="3580" w:type="dxa"/>
            <w:vAlign w:val="bottom"/>
            <w:gridSpan w:val="2"/>
          </w:tcPr>
          <w:p>
            <w:pPr>
              <w:ind w:left="128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19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Trading Symbol(s)</w:t>
            </w:r>
          </w:p>
        </w:tc>
        <w:tc>
          <w:tcPr>
            <w:tcW w:w="34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Name of each exchange on which registered</w:t>
            </w:r>
          </w:p>
        </w:tc>
      </w:tr>
      <w:tr>
        <w:trPr>
          <w:trHeight w:val="133"/>
        </w:trPr>
        <w:tc>
          <w:tcPr>
            <w:tcW w:w="20" w:type="dxa"/>
            <w:vAlign w:val="bottom"/>
          </w:tcPr>
          <w:p>
            <w:pPr>
              <w:spacing w:after="0"/>
              <w:rPr>
                <w:sz w:val="11"/>
                <w:szCs w:val="11"/>
                <w:color w:val="auto"/>
              </w:rPr>
            </w:pPr>
          </w:p>
        </w:tc>
        <w:tc>
          <w:tcPr>
            <w:tcW w:w="340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1"/>
                <w:szCs w:val="11"/>
                <w:color w:val="auto"/>
              </w:rPr>
              <w:t>Common Stock, $0.001 par value per share</w:t>
            </w:r>
          </w:p>
        </w:tc>
        <w:tc>
          <w:tcPr>
            <w:tcW w:w="180" w:type="dxa"/>
            <w:vAlign w:val="bottom"/>
          </w:tcPr>
          <w:p>
            <w:pPr>
              <w:spacing w:after="0"/>
              <w:rPr>
                <w:sz w:val="11"/>
                <w:szCs w:val="11"/>
                <w:color w:val="auto"/>
              </w:rPr>
            </w:pPr>
          </w:p>
        </w:tc>
        <w:tc>
          <w:tcPr>
            <w:tcW w:w="1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PTCT</w:t>
            </w:r>
          </w:p>
        </w:tc>
        <w:tc>
          <w:tcPr>
            <w:tcW w:w="180" w:type="dxa"/>
            <w:vAlign w:val="bottom"/>
          </w:tcPr>
          <w:p>
            <w:pPr>
              <w:spacing w:after="0"/>
              <w:rPr>
                <w:sz w:val="11"/>
                <w:szCs w:val="11"/>
                <w:color w:val="auto"/>
              </w:rPr>
            </w:pPr>
          </w:p>
        </w:tc>
        <w:tc>
          <w:tcPr>
            <w:tcW w:w="3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Nasdaq Global Select Market</w:t>
            </w:r>
          </w:p>
        </w:tc>
      </w:tr>
    </w:tbl>
    <w:p>
      <w:pPr>
        <w:spacing w:after="0" w:line="121" w:lineRule="exact"/>
        <w:rPr>
          <w:sz w:val="24"/>
          <w:szCs w:val="24"/>
          <w:color w:val="auto"/>
        </w:rPr>
      </w:pPr>
    </w:p>
    <w:p>
      <w:pPr>
        <w:ind w:left="20" w:right="720"/>
        <w:spacing w:after="0" w:line="282" w:lineRule="auto"/>
        <w:rPr>
          <w:sz w:val="20"/>
          <w:szCs w:val="20"/>
          <w:color w:val="auto"/>
        </w:rPr>
      </w:pPr>
      <w:r>
        <w:rPr>
          <w:rFonts w:ascii="Times New Roman" w:cs="Times New Roman" w:eastAsia="Times New Roman" w:hAnsi="Times New Roman"/>
          <w:sz w:val="11"/>
          <w:szCs w:val="11"/>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ind w:left="20"/>
        <w:spacing w:after="0" w:line="127"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pacing w:after="0" w:line="168" w:lineRule="exact"/>
        <w:rPr>
          <w:sz w:val="24"/>
          <w:szCs w:val="24"/>
          <w:color w:val="auto"/>
        </w:rPr>
      </w:pPr>
    </w:p>
    <w:p>
      <w:pPr>
        <w:ind w:left="20" w:right="780"/>
        <w:spacing w:after="0" w:line="146"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415290</wp:posOffset>
            </wp:positionV>
            <wp:extent cx="56921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92140" cy="1714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32385</wp:posOffset>
            </wp:positionV>
            <wp:extent cx="56921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92140" cy="571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72390</wp:posOffset>
            </wp:positionV>
            <wp:extent cx="5692140" cy="228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92140" cy="22860"/>
                    </a:xfrm>
                    <a:prstGeom prst="rect">
                      <a:avLst/>
                    </a:prstGeom>
                    <a:noFill/>
                  </pic:spPr>
                </pic:pic>
              </a:graphicData>
            </a:graphic>
          </wp:anchor>
        </w:drawing>
      </w:r>
    </w:p>
    <w:p>
      <w:pPr>
        <w:sectPr>
          <w:pgSz w:w="11900" w:h="16838" w:orient="portrait"/>
          <w:cols w:equalWidth="0" w:num="1">
            <w:col w:w="9660"/>
          </w:cols>
          <w:pgMar w:left="1440" w:top="278" w:right="799" w:bottom="1440" w:gutter="0" w:footer="0" w:header="0"/>
          <w:type w:val="continuous"/>
        </w:sectPr>
      </w:pPr>
    </w:p>
    <w:bookmarkStart w:id="1" w:name="page2"/>
    <w:bookmarkEnd w:id="1"/>
    <w:p>
      <w:pPr>
        <w:ind w:left="20"/>
        <w:spacing w:after="0"/>
        <w:rPr>
          <w:sz w:val="20"/>
          <w:szCs w:val="20"/>
          <w:color w:val="auto"/>
        </w:rPr>
      </w:pPr>
      <w:r>
        <w:rPr>
          <w:rFonts w:ascii="Times New Roman" w:cs="Times New Roman" w:eastAsia="Times New Roman" w:hAnsi="Times New Roman"/>
          <w:sz w:val="12"/>
          <w:szCs w:val="12"/>
          <w:b w:val="1"/>
          <w:bCs w:val="1"/>
          <w:color w:val="auto"/>
        </w:rPr>
        <w:t>Item 1.01. Entry into a Material Definitive Agreement.</w:t>
      </w:r>
    </w:p>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Amendment No. 1 to Amended and Restated Royalty Purchase Agreement and First Put Option Exercise Agreement</w:t>
      </w:r>
    </w:p>
    <w:p>
      <w:pPr>
        <w:spacing w:after="0" w:line="134" w:lineRule="exact"/>
        <w:rPr>
          <w:sz w:val="20"/>
          <w:szCs w:val="20"/>
          <w:color w:val="auto"/>
        </w:rPr>
      </w:pPr>
    </w:p>
    <w:p>
      <w:pPr>
        <w:ind w:left="20" w:right="339"/>
        <w:spacing w:after="0" w:line="265" w:lineRule="auto"/>
        <w:rPr>
          <w:sz w:val="20"/>
          <w:szCs w:val="20"/>
          <w:color w:val="auto"/>
        </w:rPr>
      </w:pPr>
      <w:r>
        <w:rPr>
          <w:rFonts w:ascii="Times New Roman" w:cs="Times New Roman" w:eastAsia="Times New Roman" w:hAnsi="Times New Roman"/>
          <w:sz w:val="12"/>
          <w:szCs w:val="12"/>
          <w:color w:val="auto"/>
        </w:rPr>
        <w:t>On June 17, 2024, PTC Therapeutics, Inc. (the “Company”), Royalty Pharma Investments 2019 ICAV (“RPI”), and, for the limited purposes set forth in the Purchase Agreement (as defined below), Royalty Pharma plc, entered into an Amendment No. 1 to Amended and Restated Royalty Purchase Agreement and First Put Option Exercise Agreement (the “Amendment”), which amends that certain Amended and Restated Royalty Purchase Agreement dated as of October 18, 2023 (the “Purchase Agreement”).</w:t>
      </w:r>
    </w:p>
    <w:p>
      <w:pPr>
        <w:spacing w:after="0" w:line="92" w:lineRule="exact"/>
        <w:rPr>
          <w:sz w:val="20"/>
          <w:szCs w:val="20"/>
          <w:color w:val="auto"/>
        </w:rPr>
      </w:pPr>
    </w:p>
    <w:p>
      <w:pPr>
        <w:ind w:left="20" w:right="119"/>
        <w:spacing w:after="0" w:line="256" w:lineRule="auto"/>
        <w:rPr>
          <w:sz w:val="20"/>
          <w:szCs w:val="20"/>
          <w:color w:val="auto"/>
        </w:rPr>
      </w:pPr>
      <w:r>
        <w:rPr>
          <w:rFonts w:ascii="Times New Roman" w:cs="Times New Roman" w:eastAsia="Times New Roman" w:hAnsi="Times New Roman"/>
          <w:sz w:val="12"/>
          <w:szCs w:val="12"/>
          <w:color w:val="auto"/>
        </w:rPr>
        <w:t>Under the Purchase Agreement, the Company sold to RPI a certain portion of the Company’s right to receive sales-based royalty payments on worldwide net sales of Roche’s Evrysdi® (risdiplam) product and any other product developed pursuant to the License and Collaboration Agreement, dated as of November 23, 2011, by and among the Company, F. Hoffman-La Roche Ltd., Hoffman-La Roche Inc. (together with F. Hoffman-La Roche Ltd, “Roche”), and, for the limited purposes set forth therein, the Spinal Muscular Atrophy Foundation (such payments, the “Royalty”). The Purchase Agreement provided, among other things, the Company with five $100.0 million put options pursuant to which the Company could sell to RPI, after the closing of the Purchase Agreement and before December 31, 2025, its retained portion of the Royalty in exchange for total cash consideration of up to $500.0 million, less royalties received through the applicable put closing date in respect of the put portion of the Royalty for net sales occurring on or after October 1, 2023.</w:t>
      </w:r>
    </w:p>
    <w:p>
      <w:pPr>
        <w:spacing w:after="0" w:line="98" w:lineRule="exact"/>
        <w:rPr>
          <w:sz w:val="20"/>
          <w:szCs w:val="20"/>
          <w:color w:val="auto"/>
        </w:rPr>
      </w:pPr>
    </w:p>
    <w:p>
      <w:pPr>
        <w:ind w:left="20" w:right="79"/>
        <w:spacing w:after="0" w:line="253" w:lineRule="auto"/>
        <w:rPr>
          <w:sz w:val="20"/>
          <w:szCs w:val="20"/>
          <w:color w:val="auto"/>
        </w:rPr>
      </w:pPr>
      <w:r>
        <w:rPr>
          <w:rFonts w:ascii="Times New Roman" w:cs="Times New Roman" w:eastAsia="Times New Roman" w:hAnsi="Times New Roman"/>
          <w:sz w:val="12"/>
          <w:szCs w:val="12"/>
          <w:color w:val="auto"/>
        </w:rPr>
        <w:t>The Amendment modifies the size and number of put options available to be exercised by the Company under the Purchase Agreement, without changing the total cash consideration payable to the Company or the total amount of the Royalty to be sold to RPI in connection with the exercise of all the put options. The Amendment also removes from the Purchase Agreement the call options previously held by RPI to purchase up to 9.5112% of the Royalty. The Amendment provides that the Company has the option to sell its retained portions of the Royalty to RPI in up to four tranches for the following payments: (1) $250.0 million for the first tranche in exchange for 9.5112% of the Royalty, which increases to 16.6667% after the 2020 Assigned Royalty Cap (as defined in the Purchase Agreement) has been met, (2) $100.0 million for the second tranche in exchange for 3.8045% of the Royalty, which increases to 6.6667% after the 2020 Assigned Royalty Cap has been met, (3) $100.0 million for the third tranche in exchange for 3.8045% of the Royalty, which increases to 6.6667% after the 2020 Assigned Royalty Cap has been met, and (4) $50.0 million for the fourth tranche in exchange for 1.9021% of the Royalty, which increases to 3.3332% after the 2020 Assigned Royalty Cap has been met, in each case less royalties received through the applicable put closing date in respect of the put portion of the Royalty for net sales occurring on or after October 1, 2023. In connection with the closing of the Amendment, the Company exercised its put option to sell the first tranche to RPI, resulting in the Company receiving $250.0 million in cash consideration, less royalties received through June 17, 2024 in respect of the put portion of the Royalty for net sales occurring on or after October 1, 2023, in exchange for 9.5112% of the Royalty with respect to net sales arising after April 1, 2024, which increases to 16.6667% of the Royalty after the 2020 Assigned Royalty Cap has been met. As of the closing of the first tranche, the Company retains 9.5111% of the Royalty, which increases to 16.6666% after the 2020 Assigned Royalty Cap has been met.</w:t>
      </w:r>
    </w:p>
    <w:p>
      <w:pPr>
        <w:spacing w:after="0" w:line="108" w:lineRule="exact"/>
        <w:rPr>
          <w:sz w:val="20"/>
          <w:szCs w:val="20"/>
          <w:color w:val="auto"/>
        </w:rPr>
      </w:pPr>
    </w:p>
    <w:p>
      <w:pPr>
        <w:ind w:left="20" w:right="399"/>
        <w:spacing w:after="0" w:line="279" w:lineRule="auto"/>
        <w:rPr>
          <w:sz w:val="20"/>
          <w:szCs w:val="20"/>
          <w:color w:val="auto"/>
        </w:rPr>
      </w:pPr>
      <w:r>
        <w:rPr>
          <w:rFonts w:ascii="Times New Roman" w:cs="Times New Roman" w:eastAsia="Times New Roman" w:hAnsi="Times New Roman"/>
          <w:sz w:val="12"/>
          <w:szCs w:val="12"/>
          <w:color w:val="auto"/>
        </w:rPr>
        <w:t>The foregoing description of the material terms of the Amendment is qualified in its entirety by reference to the full text of the Amendment, which will be filed as an exhibit to the Company’s Quarterly Report on Form 10-Q for the fiscal quarter ending June 30, 2024.</w:t>
      </w:r>
    </w:p>
    <w:p>
      <w:pPr>
        <w:spacing w:after="0" w:line="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Amendment and Restatement of Hopewell Lease</w:t>
      </w:r>
    </w:p>
    <w:p>
      <w:pPr>
        <w:spacing w:after="0" w:line="125" w:lineRule="exact"/>
        <w:rPr>
          <w:sz w:val="20"/>
          <w:szCs w:val="20"/>
          <w:color w:val="auto"/>
        </w:rPr>
      </w:pPr>
    </w:p>
    <w:p>
      <w:pPr>
        <w:ind w:left="20" w:right="179"/>
        <w:spacing w:after="0" w:line="260" w:lineRule="auto"/>
        <w:rPr>
          <w:sz w:val="20"/>
          <w:szCs w:val="20"/>
          <w:color w:val="auto"/>
        </w:rPr>
      </w:pPr>
      <w:r>
        <w:rPr>
          <w:rFonts w:ascii="Times New Roman" w:cs="Times New Roman" w:eastAsia="Times New Roman" w:hAnsi="Times New Roman"/>
          <w:sz w:val="12"/>
          <w:szCs w:val="12"/>
          <w:color w:val="auto"/>
        </w:rPr>
        <w:t>In connection with the disposition of certain assets related to early-stage gene therapy programs, on June 17, 2024, the Company and Hopewell Campus Owner, LLC, as successor-in-interest to Bristol-Myers Squibb Company (the “Landlord”), entered into an amendment and restatement of the lease of office, production and laboratory space at a facility located in Hopewell Township, New Jersey filed as Exhibit 10.24 to the Company’s Annual Report on Form 10-K for the fiscal year ended December 31, 2023 (the “Lease”). The amendments to the Lease significantly reduce the space and corresponding rent subject to the Lease.</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As a result of the amendments to the Lease, the Company no longer considers the Lease to be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 w:name="page3"/>
    <w:bookmarkEnd w:id="2"/>
    <w:p>
      <w:pPr>
        <w:ind w:left="20"/>
        <w:spacing w:after="0"/>
        <w:rPr>
          <w:sz w:val="20"/>
          <w:szCs w:val="20"/>
          <w:color w:val="auto"/>
        </w:rPr>
      </w:pPr>
      <w:r>
        <w:rPr>
          <w:rFonts w:ascii="Times New Roman" w:cs="Times New Roman" w:eastAsia="Times New Roman" w:hAnsi="Times New Roman"/>
          <w:sz w:val="12"/>
          <w:szCs w:val="12"/>
          <w:b w:val="1"/>
          <w:bCs w:val="1"/>
          <w:color w:val="auto"/>
        </w:rPr>
        <w:t>Item 5.07. Submission of Matters to a Vote of Security Holders.</w:t>
      </w:r>
    </w:p>
    <w:p>
      <w:pPr>
        <w:spacing w:after="0" w:line="127" w:lineRule="exact"/>
        <w:rPr>
          <w:sz w:val="20"/>
          <w:szCs w:val="20"/>
          <w:color w:val="auto"/>
        </w:rPr>
      </w:pPr>
    </w:p>
    <w:p>
      <w:pPr>
        <w:ind w:left="20" w:right="39"/>
        <w:spacing w:after="0" w:line="265" w:lineRule="auto"/>
        <w:rPr>
          <w:sz w:val="20"/>
          <w:szCs w:val="20"/>
          <w:color w:val="auto"/>
        </w:rPr>
      </w:pPr>
      <w:r>
        <w:rPr>
          <w:rFonts w:ascii="Times New Roman" w:cs="Times New Roman" w:eastAsia="Times New Roman" w:hAnsi="Times New Roman"/>
          <w:sz w:val="12"/>
          <w:szCs w:val="12"/>
          <w:color w:val="auto"/>
        </w:rPr>
        <w:t>The Company held its Annual Meeting on June 18, 2024 (the “Annual Meeting”). The results for the votes regarding each proposal at the Annual Meeting are set forth below. As of the record date of the Annual Meeting, April 22, 2024, there were 76,696,655 shares of the Company’s common stock outstanding. Each share of common stock entitled its holder to one vote per share.</w:t>
      </w:r>
    </w:p>
    <w:p>
      <w:pPr>
        <w:spacing w:after="0" w:line="101" w:lineRule="exact"/>
        <w:rPr>
          <w:sz w:val="20"/>
          <w:szCs w:val="20"/>
          <w:color w:val="auto"/>
        </w:rPr>
      </w:pPr>
    </w:p>
    <w:p>
      <w:pPr>
        <w:ind w:left="20" w:right="119"/>
        <w:spacing w:after="0" w:line="279" w:lineRule="auto"/>
        <w:rPr>
          <w:sz w:val="20"/>
          <w:szCs w:val="20"/>
          <w:color w:val="auto"/>
        </w:rPr>
      </w:pPr>
      <w:r>
        <w:rPr>
          <w:rFonts w:ascii="Times New Roman" w:cs="Times New Roman" w:eastAsia="Times New Roman" w:hAnsi="Times New Roman"/>
          <w:sz w:val="12"/>
          <w:szCs w:val="12"/>
          <w:color w:val="auto"/>
        </w:rPr>
        <w:t>The stockholders of the Company elected four Class II directors, each to hold office until the Company’s 2027 annual meeting of stockholders or until his or her successor has been duly elected and qualified, as follows:</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27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Director</w:t>
            </w:r>
          </w:p>
        </w:tc>
        <w:tc>
          <w:tcPr>
            <w:tcW w:w="2540" w:type="dxa"/>
            <w:vAlign w:val="bottom"/>
          </w:tcPr>
          <w:p>
            <w:pPr>
              <w:jc w:val="right"/>
              <w:ind w:right="820"/>
              <w:spacing w:after="0"/>
              <w:rPr>
                <w:sz w:val="20"/>
                <w:szCs w:val="20"/>
                <w:color w:val="auto"/>
              </w:rPr>
            </w:pPr>
            <w:r>
              <w:rPr>
                <w:rFonts w:ascii="Times New Roman" w:cs="Times New Roman" w:eastAsia="Times New Roman" w:hAnsi="Times New Roman"/>
                <w:sz w:val="12"/>
                <w:szCs w:val="12"/>
                <w:b w:val="1"/>
                <w:bCs w:val="1"/>
                <w:color w:val="auto"/>
              </w:rPr>
              <w:t>For</w:t>
            </w:r>
          </w:p>
        </w:tc>
        <w:tc>
          <w:tcPr>
            <w:tcW w:w="2020" w:type="dxa"/>
            <w:vAlign w:val="bottom"/>
          </w:tcPr>
          <w:p>
            <w:pPr>
              <w:ind w:left="880"/>
              <w:spacing w:after="0"/>
              <w:rPr>
                <w:sz w:val="20"/>
                <w:szCs w:val="20"/>
                <w:color w:val="auto"/>
              </w:rPr>
            </w:pPr>
            <w:r>
              <w:rPr>
                <w:rFonts w:ascii="Times New Roman" w:cs="Times New Roman" w:eastAsia="Times New Roman" w:hAnsi="Times New Roman"/>
                <w:sz w:val="12"/>
                <w:szCs w:val="12"/>
                <w:b w:val="1"/>
                <w:bCs w:val="1"/>
                <w:color w:val="auto"/>
              </w:rPr>
              <w:t>Withheld</w:t>
            </w: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Broker Non-Votes</w:t>
            </w:r>
          </w:p>
        </w:tc>
      </w:tr>
      <w:tr>
        <w:trPr>
          <w:trHeight w:val="144"/>
        </w:trPr>
        <w:tc>
          <w:tcPr>
            <w:tcW w:w="2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Emma Reeve</w:t>
            </w:r>
          </w:p>
        </w:tc>
        <w:tc>
          <w:tcPr>
            <w:tcW w:w="2540" w:type="dxa"/>
            <w:vAlign w:val="bottom"/>
            <w:shd w:val="clear" w:color="auto" w:fill="CCEEFF"/>
          </w:tcPr>
          <w:p>
            <w:pPr>
              <w:jc w:val="right"/>
              <w:ind w:right="820"/>
              <w:spacing w:after="0"/>
              <w:rPr>
                <w:sz w:val="20"/>
                <w:szCs w:val="20"/>
                <w:color w:val="auto"/>
              </w:rPr>
            </w:pPr>
            <w:r>
              <w:rPr>
                <w:rFonts w:ascii="Times New Roman" w:cs="Times New Roman" w:eastAsia="Times New Roman" w:hAnsi="Times New Roman"/>
                <w:sz w:val="12"/>
                <w:szCs w:val="12"/>
                <w:color w:val="auto"/>
              </w:rPr>
              <w:t>63,383,975</w:t>
            </w:r>
          </w:p>
        </w:tc>
        <w:tc>
          <w:tcPr>
            <w:tcW w:w="20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2"/>
                <w:szCs w:val="12"/>
                <w:color w:val="auto"/>
              </w:rPr>
              <w:t>2,829,938</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4,104,129</w:t>
            </w:r>
          </w:p>
        </w:tc>
      </w:tr>
      <w:tr>
        <w:trPr>
          <w:trHeight w:val="144"/>
        </w:trPr>
        <w:tc>
          <w:tcPr>
            <w:tcW w:w="27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Michael Schmertzler</w:t>
            </w:r>
          </w:p>
        </w:tc>
        <w:tc>
          <w:tcPr>
            <w:tcW w:w="2540" w:type="dxa"/>
            <w:vAlign w:val="bottom"/>
          </w:tcPr>
          <w:p>
            <w:pPr>
              <w:jc w:val="right"/>
              <w:ind w:right="820"/>
              <w:spacing w:after="0"/>
              <w:rPr>
                <w:sz w:val="20"/>
                <w:szCs w:val="20"/>
                <w:color w:val="auto"/>
              </w:rPr>
            </w:pPr>
            <w:r>
              <w:rPr>
                <w:rFonts w:ascii="Times New Roman" w:cs="Times New Roman" w:eastAsia="Times New Roman" w:hAnsi="Times New Roman"/>
                <w:sz w:val="12"/>
                <w:szCs w:val="12"/>
                <w:color w:val="auto"/>
              </w:rPr>
              <w:t>64,029,610</w:t>
            </w:r>
          </w:p>
        </w:tc>
        <w:tc>
          <w:tcPr>
            <w:tcW w:w="2020" w:type="dxa"/>
            <w:vAlign w:val="bottom"/>
          </w:tcPr>
          <w:p>
            <w:pPr>
              <w:ind w:left="880"/>
              <w:spacing w:after="0"/>
              <w:rPr>
                <w:sz w:val="20"/>
                <w:szCs w:val="20"/>
                <w:color w:val="auto"/>
              </w:rPr>
            </w:pPr>
            <w:r>
              <w:rPr>
                <w:rFonts w:ascii="Times New Roman" w:cs="Times New Roman" w:eastAsia="Times New Roman" w:hAnsi="Times New Roman"/>
                <w:sz w:val="12"/>
                <w:szCs w:val="12"/>
                <w:color w:val="auto"/>
              </w:rPr>
              <w:t>2,184,303</w:t>
            </w: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4,104,129</w:t>
            </w:r>
          </w:p>
        </w:tc>
      </w:tr>
      <w:tr>
        <w:trPr>
          <w:trHeight w:val="144"/>
        </w:trPr>
        <w:tc>
          <w:tcPr>
            <w:tcW w:w="2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Mary Smith</w:t>
            </w:r>
          </w:p>
        </w:tc>
        <w:tc>
          <w:tcPr>
            <w:tcW w:w="2540" w:type="dxa"/>
            <w:vAlign w:val="bottom"/>
            <w:shd w:val="clear" w:color="auto" w:fill="CCEEFF"/>
          </w:tcPr>
          <w:p>
            <w:pPr>
              <w:jc w:val="right"/>
              <w:ind w:right="820"/>
              <w:spacing w:after="0"/>
              <w:rPr>
                <w:sz w:val="20"/>
                <w:szCs w:val="20"/>
                <w:color w:val="auto"/>
              </w:rPr>
            </w:pPr>
            <w:r>
              <w:rPr>
                <w:rFonts w:ascii="Times New Roman" w:cs="Times New Roman" w:eastAsia="Times New Roman" w:hAnsi="Times New Roman"/>
                <w:sz w:val="12"/>
                <w:szCs w:val="12"/>
                <w:color w:val="auto"/>
              </w:rPr>
              <w:t>64,717,219</w:t>
            </w:r>
          </w:p>
        </w:tc>
        <w:tc>
          <w:tcPr>
            <w:tcW w:w="20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2"/>
                <w:szCs w:val="12"/>
                <w:color w:val="auto"/>
              </w:rPr>
              <w:t>1,496,694</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4,104,129</w:t>
            </w:r>
          </w:p>
        </w:tc>
      </w:tr>
      <w:tr>
        <w:trPr>
          <w:trHeight w:val="155"/>
        </w:trPr>
        <w:tc>
          <w:tcPr>
            <w:tcW w:w="27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Glenn D. Steele, Jr., M.D., Ph.D.</w:t>
            </w:r>
          </w:p>
        </w:tc>
        <w:tc>
          <w:tcPr>
            <w:tcW w:w="2540" w:type="dxa"/>
            <w:vAlign w:val="bottom"/>
          </w:tcPr>
          <w:p>
            <w:pPr>
              <w:jc w:val="right"/>
              <w:ind w:right="820"/>
              <w:spacing w:after="0"/>
              <w:rPr>
                <w:sz w:val="20"/>
                <w:szCs w:val="20"/>
                <w:color w:val="auto"/>
              </w:rPr>
            </w:pPr>
            <w:r>
              <w:rPr>
                <w:rFonts w:ascii="Times New Roman" w:cs="Times New Roman" w:eastAsia="Times New Roman" w:hAnsi="Times New Roman"/>
                <w:sz w:val="12"/>
                <w:szCs w:val="12"/>
                <w:color w:val="auto"/>
              </w:rPr>
              <w:t>64,598,479</w:t>
            </w:r>
          </w:p>
        </w:tc>
        <w:tc>
          <w:tcPr>
            <w:tcW w:w="2020" w:type="dxa"/>
            <w:vAlign w:val="bottom"/>
          </w:tcPr>
          <w:p>
            <w:pPr>
              <w:ind w:left="880"/>
              <w:spacing w:after="0"/>
              <w:rPr>
                <w:sz w:val="20"/>
                <w:szCs w:val="20"/>
                <w:color w:val="auto"/>
              </w:rPr>
            </w:pPr>
            <w:r>
              <w:rPr>
                <w:rFonts w:ascii="Times New Roman" w:cs="Times New Roman" w:eastAsia="Times New Roman" w:hAnsi="Times New Roman"/>
                <w:sz w:val="12"/>
                <w:szCs w:val="12"/>
                <w:color w:val="auto"/>
              </w:rPr>
              <w:t>1,615,434</w:t>
            </w: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4,104,129</w:t>
            </w:r>
          </w:p>
        </w:tc>
      </w:tr>
    </w:tbl>
    <w:p>
      <w:pPr>
        <w:spacing w:after="0" w:line="95" w:lineRule="exact"/>
        <w:rPr>
          <w:sz w:val="20"/>
          <w:szCs w:val="20"/>
          <w:color w:val="auto"/>
        </w:rPr>
      </w:pPr>
    </w:p>
    <w:p>
      <w:pPr>
        <w:ind w:left="20" w:right="239"/>
        <w:spacing w:after="0" w:line="279" w:lineRule="auto"/>
        <w:rPr>
          <w:sz w:val="20"/>
          <w:szCs w:val="20"/>
          <w:color w:val="auto"/>
        </w:rPr>
      </w:pPr>
      <w:r>
        <w:rPr>
          <w:rFonts w:ascii="Times New Roman" w:cs="Times New Roman" w:eastAsia="Times New Roman" w:hAnsi="Times New Roman"/>
          <w:sz w:val="12"/>
          <w:szCs w:val="12"/>
          <w:color w:val="auto"/>
        </w:rPr>
        <w:t>The appointment of Ernst &amp; Young LLP as the Company’s independent registered public accounting firm for the fiscal year ending December 31, 2024 was ratified by the Company’s stockholders with 70,118,603 votes “For,” 181,310 votes “Against,” and 18,129 votes “Abstained.”</w:t>
      </w:r>
    </w:p>
    <w:p>
      <w:pPr>
        <w:spacing w:after="0" w:line="93" w:lineRule="exact"/>
        <w:rPr>
          <w:sz w:val="20"/>
          <w:szCs w:val="20"/>
          <w:color w:val="auto"/>
        </w:rPr>
      </w:pPr>
    </w:p>
    <w:p>
      <w:pPr>
        <w:ind w:left="20" w:right="279"/>
        <w:spacing w:after="0" w:line="279" w:lineRule="auto"/>
        <w:rPr>
          <w:sz w:val="20"/>
          <w:szCs w:val="20"/>
          <w:color w:val="auto"/>
        </w:rPr>
      </w:pPr>
      <w:r>
        <w:rPr>
          <w:rFonts w:ascii="Times New Roman" w:cs="Times New Roman" w:eastAsia="Times New Roman" w:hAnsi="Times New Roman"/>
          <w:sz w:val="12"/>
          <w:szCs w:val="12"/>
          <w:color w:val="auto"/>
        </w:rPr>
        <w:t>The non-binding advisory proposal on named executive officer compensation was approved by the Company’s stockholders with 64,786,256 votes “For,” 1,278,678 votes “Against,” 148,979 votes “Abstained,” and 4,104,129 broker non-votes.</w:t>
      </w: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27" w:lineRule="exact"/>
        <w:rPr>
          <w:sz w:val="20"/>
          <w:szCs w:val="20"/>
          <w:color w:val="auto"/>
        </w:rPr>
      </w:pPr>
    </w:p>
    <w:p>
      <w:pPr>
        <w:ind w:left="20" w:right="39"/>
        <w:spacing w:after="0" w:line="265" w:lineRule="auto"/>
        <w:rPr>
          <w:sz w:val="20"/>
          <w:szCs w:val="20"/>
          <w:color w:val="auto"/>
        </w:rPr>
      </w:pPr>
      <w:r>
        <w:rPr>
          <w:rFonts w:ascii="Times New Roman" w:cs="Times New Roman" w:eastAsia="Times New Roman" w:hAnsi="Times New Roman"/>
          <w:sz w:val="12"/>
          <w:szCs w:val="12"/>
          <w:color w:val="auto"/>
        </w:rPr>
        <w:t>The Company will host a conference call on June 20, 2024 at 8:00 a.m. Eastern time. During this conference call, the Company expects to discuss interim data from its Phase 2 study of PTC518 for the treatment of Huntington’s disease. Directions on how to access the conference call and a summary of the interim data are included in the press release furnished as Exhibit 99.1 hereto. A copy of the slide deck that will be presented during the conference call is furnished as Exhibit 99.2 hereto.</w:t>
      </w:r>
    </w:p>
    <w:p>
      <w:pPr>
        <w:spacing w:after="0" w:line="101" w:lineRule="exact"/>
        <w:rPr>
          <w:sz w:val="20"/>
          <w:szCs w:val="20"/>
          <w:color w:val="auto"/>
        </w:rPr>
      </w:pPr>
    </w:p>
    <w:p>
      <w:pPr>
        <w:ind w:left="20" w:right="219"/>
        <w:spacing w:after="0" w:line="260" w:lineRule="auto"/>
        <w:rPr>
          <w:sz w:val="20"/>
          <w:szCs w:val="20"/>
          <w:color w:val="auto"/>
        </w:rPr>
      </w:pPr>
      <w:r>
        <w:rPr>
          <w:rFonts w:ascii="Times New Roman" w:cs="Times New Roman" w:eastAsia="Times New Roman" w:hAnsi="Times New Roman"/>
          <w:sz w:val="12"/>
          <w:szCs w:val="12"/>
          <w:color w:val="auto"/>
        </w:rPr>
        <w:t>The information in this Item 7.01 of this Current Report on Form 8-K (this “Report”), including Exhibits 99.1 and 99.2,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 All website addresses given in this Report or incorporated herein by reference are for information only and are not intended to be an active link or to incorporate any website information into this Report.</w:t>
      </w:r>
    </w:p>
    <w:p>
      <w:pPr>
        <w:spacing w:after="0" w:line="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15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(d) Exhibits</w:t>
            </w:r>
          </w:p>
        </w:tc>
        <w:tc>
          <w:tcPr>
            <w:tcW w:w="2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140" w:type="dxa"/>
            <w:vAlign w:val="bottom"/>
          </w:tcPr>
          <w:p>
            <w:pPr>
              <w:spacing w:after="0"/>
              <w:rPr>
                <w:sz w:val="13"/>
                <w:szCs w:val="13"/>
                <w:color w:val="auto"/>
              </w:rPr>
            </w:pPr>
          </w:p>
        </w:tc>
      </w:tr>
      <w:tr>
        <w:trPr>
          <w:trHeight w:val="279"/>
        </w:trPr>
        <w:tc>
          <w:tcPr>
            <w:tcW w:w="2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74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06"/>
        </w:trPr>
        <w:tc>
          <w:tcPr>
            <w:tcW w:w="20" w:type="dxa"/>
            <w:vAlign w:val="bottom"/>
          </w:tcPr>
          <w:p>
            <w:pPr>
              <w:spacing w:after="0"/>
              <w:rPr>
                <w:sz w:val="9"/>
                <w:szCs w:val="9"/>
                <w:color w:val="auto"/>
              </w:rPr>
            </w:pPr>
          </w:p>
        </w:tc>
        <w:tc>
          <w:tcPr>
            <w:tcW w:w="1320" w:type="dxa"/>
            <w:vAlign w:val="bottom"/>
            <w:tcBorders>
              <w:top w:val="single" w:sz="8" w:color="auto"/>
            </w:tcBorders>
          </w:tcPr>
          <w:p>
            <w:pPr>
              <w:jc w:val="center"/>
              <w:spacing w:after="0" w:line="106" w:lineRule="exact"/>
              <w:rPr>
                <w:sz w:val="20"/>
                <w:szCs w:val="20"/>
                <w:color w:val="auto"/>
              </w:rPr>
            </w:pPr>
            <w:r>
              <w:rPr>
                <w:rFonts w:ascii="Times New Roman" w:cs="Times New Roman" w:eastAsia="Times New Roman" w:hAnsi="Times New Roman"/>
                <w:sz w:val="12"/>
                <w:szCs w:val="12"/>
                <w:color w:val="auto"/>
              </w:rPr>
              <w:t>99.1</w:t>
            </w:r>
          </w:p>
        </w:tc>
        <w:tc>
          <w:tcPr>
            <w:tcW w:w="180" w:type="dxa"/>
            <w:vAlign w:val="bottom"/>
          </w:tcPr>
          <w:p>
            <w:pPr>
              <w:spacing w:after="0"/>
              <w:rPr>
                <w:sz w:val="9"/>
                <w:szCs w:val="9"/>
                <w:color w:val="auto"/>
              </w:rPr>
            </w:pPr>
          </w:p>
        </w:tc>
        <w:tc>
          <w:tcPr>
            <w:tcW w:w="7440" w:type="dxa"/>
            <w:vAlign w:val="bottom"/>
            <w:tcBorders>
              <w:top w:val="single" w:sz="8" w:color="auto"/>
            </w:tcBorders>
            <w:gridSpan w:val="3"/>
          </w:tcPr>
          <w:p>
            <w:pPr>
              <w:spacing w:after="0" w:line="106" w:lineRule="exact"/>
              <w:rPr>
                <w:sz w:val="20"/>
                <w:szCs w:val="20"/>
                <w:color w:val="auto"/>
              </w:rPr>
            </w:pPr>
            <w:r>
              <w:rPr>
                <w:rFonts w:ascii="Times New Roman" w:cs="Times New Roman" w:eastAsia="Times New Roman" w:hAnsi="Times New Roman"/>
                <w:sz w:val="12"/>
                <w:szCs w:val="12"/>
                <w:color w:val="0000EE"/>
              </w:rPr>
              <w:t>Press Release, dated June 20, 2024 issued by PTC Therapeutics, Inc.</w:t>
            </w:r>
          </w:p>
        </w:tc>
      </w:tr>
      <w:tr>
        <w:trPr>
          <w:trHeight w:val="124"/>
        </w:trPr>
        <w:tc>
          <w:tcPr>
            <w:tcW w:w="1340" w:type="dxa"/>
            <w:vAlign w:val="bottom"/>
            <w:gridSpan w:val="2"/>
          </w:tcPr>
          <w:p>
            <w:pPr>
              <w:jc w:val="center"/>
              <w:spacing w:after="0" w:line="124" w:lineRule="exact"/>
              <w:rPr>
                <w:sz w:val="20"/>
                <w:szCs w:val="20"/>
                <w:color w:val="auto"/>
              </w:rPr>
            </w:pPr>
            <w:r>
              <w:rPr>
                <w:rFonts w:ascii="Times New Roman" w:cs="Times New Roman" w:eastAsia="Times New Roman" w:hAnsi="Times New Roman"/>
                <w:sz w:val="12"/>
                <w:szCs w:val="12"/>
                <w:color w:val="auto"/>
              </w:rPr>
              <w:t>99.2</w:t>
            </w:r>
          </w:p>
        </w:tc>
        <w:tc>
          <w:tcPr>
            <w:tcW w:w="180" w:type="dxa"/>
            <w:vAlign w:val="bottom"/>
          </w:tcPr>
          <w:p>
            <w:pPr>
              <w:spacing w:after="0"/>
              <w:rPr>
                <w:sz w:val="10"/>
                <w:szCs w:val="10"/>
                <w:color w:val="auto"/>
              </w:rPr>
            </w:pPr>
          </w:p>
        </w:tc>
        <w:tc>
          <w:tcPr>
            <w:tcW w:w="3300" w:type="dxa"/>
            <w:vAlign w:val="bottom"/>
            <w:tcBorders>
              <w:top w:val="single" w:sz="8" w:color="0000EE"/>
            </w:tcBorders>
            <w:gridSpan w:val="2"/>
          </w:tcPr>
          <w:p>
            <w:pPr>
              <w:spacing w:after="0" w:line="124" w:lineRule="exact"/>
              <w:rPr>
                <w:sz w:val="20"/>
                <w:szCs w:val="20"/>
                <w:color w:val="auto"/>
              </w:rPr>
            </w:pPr>
            <w:r>
              <w:rPr>
                <w:rFonts w:ascii="Times New Roman" w:cs="Times New Roman" w:eastAsia="Times New Roman" w:hAnsi="Times New Roman"/>
                <w:sz w:val="12"/>
                <w:szCs w:val="12"/>
                <w:color w:val="0000EE"/>
              </w:rPr>
              <w:t>Corporate Presentation — PIVOT-HD Interim Results</w:t>
            </w:r>
          </w:p>
        </w:tc>
        <w:tc>
          <w:tcPr>
            <w:tcW w:w="4140" w:type="dxa"/>
            <w:vAlign w:val="bottom"/>
          </w:tcPr>
          <w:p>
            <w:pPr>
              <w:spacing w:after="0"/>
              <w:rPr>
                <w:sz w:val="10"/>
                <w:szCs w:val="10"/>
                <w:color w:val="auto"/>
              </w:rPr>
            </w:pPr>
          </w:p>
        </w:tc>
      </w:tr>
      <w:tr>
        <w:trPr>
          <w:trHeight w:val="20"/>
        </w:trPr>
        <w:tc>
          <w:tcPr>
            <w:tcW w:w="1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r>
      <w:tr>
        <w:trPr>
          <w:trHeight w:val="151"/>
        </w:trPr>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9"/>
              </w:rPr>
              <w:t>104</w:t>
            </w:r>
          </w:p>
        </w:tc>
        <w:tc>
          <w:tcPr>
            <w:tcW w:w="180" w:type="dxa"/>
            <w:vAlign w:val="bottom"/>
          </w:tcPr>
          <w:p>
            <w:pPr>
              <w:spacing w:after="0"/>
              <w:rPr>
                <w:sz w:val="13"/>
                <w:szCs w:val="13"/>
                <w:color w:val="auto"/>
              </w:rPr>
            </w:pPr>
          </w:p>
        </w:tc>
        <w:tc>
          <w:tcPr>
            <w:tcW w:w="74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The cover page from this Current Report on Form 8-K, formatted in Inline XBRL</w:t>
            </w:r>
          </w:p>
        </w:tc>
      </w:tr>
    </w:tbl>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2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hereunto duly authorized.</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2720" w:type="dxa"/>
            <w:vAlign w:val="bottom"/>
          </w:tcPr>
          <w:p>
            <w:pPr>
              <w:spacing w:after="0"/>
              <w:rPr>
                <w:sz w:val="13"/>
                <w:szCs w:val="13"/>
                <w:color w:val="auto"/>
              </w:rPr>
            </w:pPr>
          </w:p>
        </w:tc>
        <w:tc>
          <w:tcPr>
            <w:tcW w:w="6240" w:type="dxa"/>
            <w:vAlign w:val="bottom"/>
            <w:gridSpan w:val="2"/>
          </w:tcPr>
          <w:p>
            <w:pPr>
              <w:ind w:left="1760"/>
              <w:spacing w:after="0"/>
              <w:rPr>
                <w:sz w:val="20"/>
                <w:szCs w:val="20"/>
                <w:color w:val="auto"/>
              </w:rPr>
            </w:pPr>
            <w:r>
              <w:rPr>
                <w:rFonts w:ascii="Times New Roman" w:cs="Times New Roman" w:eastAsia="Times New Roman" w:hAnsi="Times New Roman"/>
                <w:sz w:val="12"/>
                <w:szCs w:val="12"/>
                <w:b w:val="1"/>
                <w:bCs w:val="1"/>
                <w:color w:val="auto"/>
              </w:rPr>
              <w:t>PTC Therapeutics, Inc.</w:t>
            </w:r>
          </w:p>
        </w:tc>
      </w:tr>
      <w:tr>
        <w:trPr>
          <w:trHeight w:val="288"/>
        </w:trPr>
        <w:tc>
          <w:tcPr>
            <w:tcW w:w="2720" w:type="dxa"/>
            <w:vAlign w:val="bottom"/>
          </w:tcPr>
          <w:p>
            <w:pPr>
              <w:spacing w:after="0"/>
              <w:rPr>
                <w:sz w:val="20"/>
                <w:szCs w:val="20"/>
                <w:color w:val="auto"/>
              </w:rPr>
            </w:pPr>
            <w:r>
              <w:rPr>
                <w:rFonts w:ascii="Times New Roman" w:cs="Times New Roman" w:eastAsia="Times New Roman" w:hAnsi="Times New Roman"/>
                <w:sz w:val="12"/>
                <w:szCs w:val="12"/>
                <w:color w:val="auto"/>
              </w:rPr>
              <w:t>Date: June 20, 2024</w:t>
            </w:r>
          </w:p>
        </w:tc>
        <w:tc>
          <w:tcPr>
            <w:tcW w:w="2260" w:type="dxa"/>
            <w:vAlign w:val="bottom"/>
          </w:tcPr>
          <w:p>
            <w:pPr>
              <w:ind w:left="1760"/>
              <w:spacing w:after="0"/>
              <w:rPr>
                <w:sz w:val="20"/>
                <w:szCs w:val="20"/>
                <w:color w:val="auto"/>
              </w:rPr>
            </w:pPr>
            <w:r>
              <w:rPr>
                <w:rFonts w:ascii="Times New Roman" w:cs="Times New Roman" w:eastAsia="Times New Roman" w:hAnsi="Times New Roman"/>
                <w:sz w:val="12"/>
                <w:szCs w:val="12"/>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Pierre Gravier</w:t>
            </w:r>
          </w:p>
        </w:tc>
      </w:tr>
      <w:tr>
        <w:trPr>
          <w:trHeight w:val="122"/>
        </w:trPr>
        <w:tc>
          <w:tcPr>
            <w:tcW w:w="2720" w:type="dxa"/>
            <w:vAlign w:val="bottom"/>
          </w:tcPr>
          <w:p>
            <w:pPr>
              <w:spacing w:after="0"/>
              <w:rPr>
                <w:sz w:val="10"/>
                <w:szCs w:val="10"/>
                <w:color w:val="auto"/>
              </w:rPr>
            </w:pPr>
          </w:p>
        </w:tc>
        <w:tc>
          <w:tcPr>
            <w:tcW w:w="2260" w:type="dxa"/>
            <w:vAlign w:val="bottom"/>
          </w:tcPr>
          <w:p>
            <w:pPr>
              <w:ind w:left="1760"/>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39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Pierre Gravier</w:t>
            </w:r>
          </w:p>
        </w:tc>
      </w:tr>
      <w:tr>
        <w:trPr>
          <w:trHeight w:val="155"/>
        </w:trPr>
        <w:tc>
          <w:tcPr>
            <w:tcW w:w="2720" w:type="dxa"/>
            <w:vAlign w:val="bottom"/>
          </w:tcPr>
          <w:p>
            <w:pPr>
              <w:spacing w:after="0"/>
              <w:rPr>
                <w:sz w:val="13"/>
                <w:szCs w:val="13"/>
                <w:color w:val="auto"/>
              </w:rPr>
            </w:pPr>
          </w:p>
        </w:tc>
        <w:tc>
          <w:tcPr>
            <w:tcW w:w="2260" w:type="dxa"/>
            <w:vAlign w:val="bottom"/>
          </w:tcPr>
          <w:p>
            <w:pPr>
              <w:ind w:left="1760"/>
              <w:spacing w:after="0"/>
              <w:rPr>
                <w:sz w:val="20"/>
                <w:szCs w:val="20"/>
                <w:color w:val="auto"/>
              </w:rPr>
            </w:pPr>
            <w:r>
              <w:rPr>
                <w:rFonts w:ascii="Times New Roman" w:cs="Times New Roman" w:eastAsia="Times New Roman" w:hAnsi="Times New Roman"/>
                <w:sz w:val="12"/>
                <w:szCs w:val="12"/>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w:t>
            </w:r>
          </w:p>
        </w:tc>
      </w:tr>
      <w:tr>
        <w:trPr>
          <w:trHeight w:val="385"/>
        </w:trPr>
        <w:tc>
          <w:tcPr>
            <w:tcW w:w="27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3" w:name="page4"/>
    <w:bookmarkEnd w:id="3"/>
    <w:p>
      <w:pPr>
        <w:ind w:left="8160"/>
        <w:spacing w:after="0"/>
        <w:rPr>
          <w:sz w:val="20"/>
          <w:szCs w:val="20"/>
          <w:color w:val="auto"/>
        </w:rPr>
      </w:pPr>
      <w:r>
        <w:rPr>
          <w:rFonts w:ascii="Arial" w:cs="Arial" w:eastAsia="Arial" w:hAnsi="Arial"/>
          <w:sz w:val="11"/>
          <w:szCs w:val="11"/>
          <w:b w:val="1"/>
          <w:bCs w:val="1"/>
          <w:color w:val="auto"/>
        </w:rPr>
        <w:t>Exhibit 99.1</w:t>
      </w:r>
    </w:p>
    <w:p>
      <w:pPr>
        <w:spacing w:after="0" w:line="38" w:lineRule="exact"/>
        <w:rPr>
          <w:sz w:val="20"/>
          <w:szCs w:val="20"/>
          <w:color w:val="auto"/>
        </w:rPr>
      </w:pPr>
    </w:p>
    <w:p>
      <w:pPr>
        <w:jc w:val="center"/>
        <w:ind w:left="180" w:right="199"/>
        <w:spacing w:after="0" w:line="298" w:lineRule="auto"/>
        <w:rPr>
          <w:sz w:val="20"/>
          <w:szCs w:val="20"/>
          <w:color w:val="auto"/>
        </w:rPr>
      </w:pPr>
      <w:r>
        <w:rPr>
          <w:rFonts w:ascii="Arial" w:cs="Arial" w:eastAsia="Arial" w:hAnsi="Arial"/>
          <w:sz w:val="14"/>
          <w:szCs w:val="14"/>
          <w:b w:val="1"/>
          <w:bCs w:val="1"/>
          <w:color w:val="auto"/>
        </w:rPr>
        <w:t>Interim PIVOT-HD Results Demonstrate Evidence of Favorable CNS Biomarker and Clinical Effects at Month 12 in Huntington’s Disease Patients</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3"/>
          <w:szCs w:val="13"/>
          <w:i w:val="1"/>
          <w:iCs w:val="1"/>
          <w:color w:val="auto"/>
        </w:rPr>
        <w:t>- FDA lifts PTC518 partial clinical hold based on PIVOT-HD data -</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3"/>
          <w:szCs w:val="13"/>
          <w:i w:val="1"/>
          <w:iCs w:val="1"/>
          <w:color w:val="auto"/>
        </w:rPr>
        <w:t>- Conference call and webcast to be held June 20</w:t>
      </w:r>
      <w:r>
        <w:rPr>
          <w:rFonts w:ascii="Arial" w:cs="Arial" w:eastAsia="Arial" w:hAnsi="Arial"/>
          <w:sz w:val="19"/>
          <w:szCs w:val="19"/>
          <w:i w:val="1"/>
          <w:iCs w:val="1"/>
          <w:color w:val="auto"/>
          <w:vertAlign w:val="superscript"/>
        </w:rPr>
        <w:t>th</w:t>
      </w:r>
      <w:r>
        <w:rPr>
          <w:rFonts w:ascii="Arial" w:cs="Arial" w:eastAsia="Arial" w:hAnsi="Arial"/>
          <w:sz w:val="13"/>
          <w:szCs w:val="13"/>
          <w:i w:val="1"/>
          <w:iCs w:val="1"/>
          <w:color w:val="auto"/>
        </w:rPr>
        <w:t xml:space="preserve"> at 8:00 am EDT -</w:t>
      </w:r>
    </w:p>
    <w:p>
      <w:pPr>
        <w:spacing w:after="0" w:line="89" w:lineRule="exact"/>
        <w:rPr>
          <w:sz w:val="20"/>
          <w:szCs w:val="20"/>
          <w:color w:val="auto"/>
        </w:rPr>
      </w:pPr>
    </w:p>
    <w:p>
      <w:pPr>
        <w:ind w:left="180" w:right="219"/>
        <w:spacing w:after="0" w:line="255" w:lineRule="auto"/>
        <w:rPr>
          <w:sz w:val="20"/>
          <w:szCs w:val="20"/>
          <w:color w:val="auto"/>
        </w:rPr>
      </w:pPr>
      <w:r>
        <w:rPr>
          <w:rFonts w:ascii="Arial" w:cs="Arial" w:eastAsia="Arial" w:hAnsi="Arial"/>
          <w:sz w:val="12"/>
          <w:szCs w:val="12"/>
          <w:b w:val="1"/>
          <w:bCs w:val="1"/>
          <w:color w:val="auto"/>
        </w:rPr>
        <w:t xml:space="preserve">WARREN, N.J., June 20, 2024 </w:t>
      </w:r>
      <w:r>
        <w:rPr>
          <w:rFonts w:ascii="Arial" w:cs="Arial" w:eastAsia="Arial" w:hAnsi="Arial"/>
          <w:sz w:val="12"/>
          <w:szCs w:val="12"/>
          <w:color w:val="auto"/>
        </w:rPr>
        <w:t>-- PTC Therapeutics, Inc. (NASDAQ: PTCT) today shared interim results from the Phase 2 PIVOT-HD study of PTC518 in</w:t>
      </w:r>
      <w:r>
        <w:rPr>
          <w:rFonts w:ascii="Arial" w:cs="Arial" w:eastAsia="Arial" w:hAnsi="Arial"/>
          <w:sz w:val="12"/>
          <w:szCs w:val="12"/>
          <w:b w:val="1"/>
          <w:bCs w:val="1"/>
          <w:color w:val="auto"/>
        </w:rPr>
        <w:t xml:space="preserve"> </w:t>
      </w:r>
      <w:r>
        <w:rPr>
          <w:rFonts w:ascii="Arial" w:cs="Arial" w:eastAsia="Arial" w:hAnsi="Arial"/>
          <w:sz w:val="12"/>
          <w:szCs w:val="12"/>
          <w:color w:val="auto"/>
        </w:rPr>
        <w:t>Huntington’s disease (HD) patients. At Month 12, PTC518 treatment resulted in dose-dependent lowering of mutant huntingtin (mHTT) protein in the blood and cerebrospinal fluid (CSF) in the interim cohort of patients. In addition, favorable trends were demonstrated on several relevant HD clinical assessments including Total Motor Score (TMS) and Composite Unified Huntington's Disease Rating Scale (cUHDRS). Furthermore, following 12 months of treatment, PTC518 continues to be safe and well tolerated.</w:t>
      </w:r>
    </w:p>
    <w:p>
      <w:pPr>
        <w:spacing w:after="0" w:line="131" w:lineRule="exact"/>
        <w:rPr>
          <w:sz w:val="20"/>
          <w:szCs w:val="20"/>
          <w:color w:val="auto"/>
        </w:rPr>
      </w:pPr>
    </w:p>
    <w:p>
      <w:pPr>
        <w:jc w:val="both"/>
        <w:ind w:left="180" w:right="299"/>
        <w:spacing w:after="0" w:line="268" w:lineRule="auto"/>
        <w:rPr>
          <w:sz w:val="20"/>
          <w:szCs w:val="20"/>
          <w:color w:val="auto"/>
        </w:rPr>
      </w:pPr>
      <w:r>
        <w:rPr>
          <w:rFonts w:ascii="Arial" w:cs="Arial" w:eastAsia="Arial" w:hAnsi="Arial"/>
          <w:sz w:val="12"/>
          <w:szCs w:val="12"/>
          <w:color w:val="auto"/>
        </w:rPr>
        <w:t>"The evidence of both CNS biomarker and early clinical effects at Month 12 along with the continued favorable tolerability profile supports the promise of PTC518 to address the need for an effective and safe disease-modifying therapy for patients living with Huntington’s disease," said Dr. Matthew B. Klein, Chief Executive Officer, PTC Therapeutics, Inc. “With these data in hand, we look forward to the next steps in the PTC518 development program.”</w:t>
      </w:r>
    </w:p>
    <w:p>
      <w:pPr>
        <w:spacing w:after="0" w:line="123" w:lineRule="exact"/>
        <w:rPr>
          <w:sz w:val="20"/>
          <w:szCs w:val="20"/>
          <w:color w:val="auto"/>
        </w:rPr>
      </w:pPr>
    </w:p>
    <w:p>
      <w:pPr>
        <w:ind w:left="180" w:right="319"/>
        <w:spacing w:after="0" w:line="262" w:lineRule="auto"/>
        <w:rPr>
          <w:sz w:val="20"/>
          <w:szCs w:val="20"/>
          <w:color w:val="auto"/>
        </w:rPr>
      </w:pPr>
      <w:r>
        <w:rPr>
          <w:rFonts w:ascii="Arial" w:cs="Arial" w:eastAsia="Arial" w:hAnsi="Arial"/>
          <w:sz w:val="12"/>
          <w:szCs w:val="12"/>
          <w:color w:val="auto"/>
        </w:rPr>
        <w:t>At Month 12, durability of dose-dependent mHTT lowering in the blood was demonstrated with lowering of 22% and 43% for 5mg and 10mg dose levels, respectively. In the CSF, dose dependent mHTT lowering was also demonstrated with lowering of 21% and 43%, for 5mg and 10mg dose levels, respectively. In addition, at Month 12, PTC518 treatment resulted in a notable slowing in progression of motor symptoms as assessed by the TMS (2.0 points worsening for 5mg and 1.3 points worsening for 10mg vs. 4.9 points worsening for placebo).</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2"/>
          <w:szCs w:val="12"/>
          <w:color w:val="auto"/>
        </w:rPr>
        <w:t>In addition, PTC announced that the FDA has lifted the partial clinical hold on the program based on review of the PIVOT-HD data.</w:t>
      </w:r>
    </w:p>
    <w:p>
      <w:pPr>
        <w:spacing w:after="0" w:line="159" w:lineRule="exact"/>
        <w:rPr>
          <w:sz w:val="20"/>
          <w:szCs w:val="20"/>
          <w:color w:val="auto"/>
        </w:rPr>
      </w:pPr>
    </w:p>
    <w:p>
      <w:pPr>
        <w:ind w:left="180"/>
        <w:spacing w:after="0"/>
        <w:rPr>
          <w:sz w:val="20"/>
          <w:szCs w:val="20"/>
          <w:color w:val="auto"/>
        </w:rPr>
      </w:pPr>
      <w:r>
        <w:rPr>
          <w:rFonts w:ascii="Arial" w:cs="Arial" w:eastAsia="Arial" w:hAnsi="Arial"/>
          <w:sz w:val="12"/>
          <w:szCs w:val="12"/>
          <w:b w:val="1"/>
          <w:bCs w:val="1"/>
          <w:color w:val="auto"/>
        </w:rPr>
        <w:t>Today's Conference Call and Webcast</w:t>
      </w:r>
    </w:p>
    <w:p>
      <w:pPr>
        <w:spacing w:after="0" w:line="18" w:lineRule="exact"/>
        <w:rPr>
          <w:sz w:val="20"/>
          <w:szCs w:val="20"/>
          <w:color w:val="auto"/>
        </w:rPr>
      </w:pPr>
    </w:p>
    <w:p>
      <w:pPr>
        <w:ind w:left="180" w:right="259"/>
        <w:spacing w:after="0" w:line="255" w:lineRule="auto"/>
        <w:rPr>
          <w:sz w:val="20"/>
          <w:szCs w:val="20"/>
          <w:color w:val="auto"/>
        </w:rPr>
      </w:pPr>
      <w:r>
        <w:rPr>
          <w:rFonts w:ascii="Arial" w:cs="Arial" w:eastAsia="Arial" w:hAnsi="Arial"/>
          <w:sz w:val="12"/>
          <w:szCs w:val="12"/>
          <w:color w:val="auto"/>
        </w:rPr>
        <w:t>PTC will hold a conference call at 8:00 am EDT today to discuss this news. To access the call by phone, please click here to register and you will be provided with dial-in details. To avoid delays, we recommend participants dial in to the conference call 15 minutes prior to the start of the call. The webcast conference call can be accessed on the Investor section of the PTC website at https://ir.ptcbio.com/events-presentations. A replay of the call will be available approximately two hours after completion of the call and will be archived on the company's website for 30 days following the call.</w:t>
      </w:r>
    </w:p>
    <w:p>
      <w:pPr>
        <w:spacing w:after="0" w:line="131" w:lineRule="exact"/>
        <w:rPr>
          <w:sz w:val="20"/>
          <w:szCs w:val="20"/>
          <w:color w:val="auto"/>
        </w:rPr>
      </w:pPr>
    </w:p>
    <w:p>
      <w:pPr>
        <w:ind w:left="180"/>
        <w:spacing w:after="0"/>
        <w:rPr>
          <w:sz w:val="20"/>
          <w:szCs w:val="20"/>
          <w:color w:val="auto"/>
        </w:rPr>
      </w:pPr>
      <w:r>
        <w:rPr>
          <w:rFonts w:ascii="Arial" w:cs="Arial" w:eastAsia="Arial" w:hAnsi="Arial"/>
          <w:sz w:val="12"/>
          <w:szCs w:val="12"/>
          <w:b w:val="1"/>
          <w:bCs w:val="1"/>
          <w:color w:val="auto"/>
        </w:rPr>
        <w:t>About PTC518</w:t>
      </w:r>
    </w:p>
    <w:p>
      <w:pPr>
        <w:spacing w:after="0" w:line="18" w:lineRule="exact"/>
        <w:rPr>
          <w:sz w:val="20"/>
          <w:szCs w:val="20"/>
          <w:color w:val="auto"/>
        </w:rPr>
      </w:pPr>
    </w:p>
    <w:p>
      <w:pPr>
        <w:ind w:left="180" w:right="299"/>
        <w:spacing w:after="0" w:line="244" w:lineRule="auto"/>
        <w:rPr>
          <w:sz w:val="20"/>
          <w:szCs w:val="20"/>
          <w:color w:val="auto"/>
        </w:rPr>
      </w:pPr>
      <w:r>
        <w:rPr>
          <w:rFonts w:ascii="Arial" w:cs="Arial" w:eastAsia="Arial" w:hAnsi="Arial"/>
          <w:sz w:val="12"/>
          <w:szCs w:val="12"/>
          <w:color w:val="auto"/>
        </w:rPr>
        <w:t xml:space="preserve">PTC is developing a potential treatment for Huntington’s disease based on our splicing platform technology. PTC518, a small molecule that can be taken orally, reduces the production of the mutated </w:t>
      </w:r>
      <w:r>
        <w:rPr>
          <w:rFonts w:ascii="Arial" w:cs="Arial" w:eastAsia="Arial" w:hAnsi="Arial"/>
          <w:sz w:val="11"/>
          <w:szCs w:val="11"/>
          <w:color w:val="auto"/>
        </w:rPr>
        <w:t>Huntingtin</w:t>
      </w:r>
      <w:r>
        <w:rPr>
          <w:rFonts w:ascii="Arial" w:cs="Arial" w:eastAsia="Arial" w:hAnsi="Arial"/>
          <w:sz w:val="12"/>
          <w:szCs w:val="12"/>
          <w:color w:val="auto"/>
        </w:rPr>
        <w:t xml:space="preserve"> protein that leads to injury and death of the neuron, which results in disease progression. The orally bioavailable</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2"/>
          <w:szCs w:val="12"/>
          <w:color w:val="auto"/>
        </w:rPr>
        <w:t>small molecule penetrates the blood brain barrier, is selective, titratable, and not effluxed – which are key differentiation properties.</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2"/>
          <w:szCs w:val="12"/>
          <w:b w:val="1"/>
          <w:bCs w:val="1"/>
          <w:color w:val="auto"/>
        </w:rPr>
        <w:t>About Huntington’s Disease</w:t>
      </w:r>
    </w:p>
    <w:p>
      <w:pPr>
        <w:spacing w:after="0" w:line="18" w:lineRule="exact"/>
        <w:rPr>
          <w:sz w:val="20"/>
          <w:szCs w:val="20"/>
          <w:color w:val="auto"/>
        </w:rPr>
      </w:pPr>
    </w:p>
    <w:p>
      <w:pPr>
        <w:ind w:left="180" w:right="279"/>
        <w:spacing w:after="0" w:line="254" w:lineRule="auto"/>
        <w:rPr>
          <w:sz w:val="20"/>
          <w:szCs w:val="20"/>
          <w:color w:val="auto"/>
        </w:rPr>
      </w:pPr>
      <w:r>
        <w:rPr>
          <w:rFonts w:ascii="Arial" w:cs="Arial" w:eastAsia="Arial" w:hAnsi="Arial"/>
          <w:sz w:val="12"/>
          <w:szCs w:val="12"/>
          <w:color w:val="auto"/>
        </w:rPr>
        <w:t>Huntington’s disease (HD) is a rare, hereditary, genetic disorder of the central nervous system.1 It is caused by a defective gene. This gene produces a protein, called Huntingtin, which is involved in the functioning of the nerve cells in the brain (neurons). When the gene is defective, it produces an abnormal (or mutated) Huntingtin protein that is toxic and causes neuron damage and neuron death.2 HD usually presents in people who are in their 30s or 40s. Symptoms can present earlier in life, and this is called the Juvenile HD.2,3 There are also cases of infantile HD, when symptoms develop in children who are younger than 10 years old.2 While symptoms vary from person to person, the disease primarily affects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496570</wp:posOffset>
            </wp:positionV>
            <wp:extent cx="5486400" cy="11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86400" cy="11430"/>
                    </a:xfrm>
                    <a:prstGeom prst="rect">
                      <a:avLst/>
                    </a:prstGeom>
                    <a:noFill/>
                  </pic:spPr>
                </pic:pic>
              </a:graphicData>
            </a:graphic>
          </wp:anchor>
        </w:drawing>
      </w:r>
    </w:p>
    <w:p>
      <w:pPr>
        <w:sectPr>
          <w:pgSz w:w="11900" w:h="16838" w:orient="portrait"/>
          <w:cols w:equalWidth="0" w:num="1">
            <w:col w:w="9019"/>
          </w:cols>
          <w:pgMar w:left="1440" w:top="568" w:right="1440" w:bottom="1440" w:gutter="0" w:footer="0" w:header="0"/>
        </w:sectPr>
      </w:pPr>
    </w:p>
    <w:bookmarkStart w:id="4" w:name="page5"/>
    <w:bookmarkEnd w:id="4"/>
    <w:p>
      <w:pPr>
        <w:ind w:left="180" w:right="199"/>
        <w:spacing w:after="0" w:line="268" w:lineRule="auto"/>
        <w:rPr>
          <w:sz w:val="20"/>
          <w:szCs w:val="20"/>
          <w:color w:val="auto"/>
        </w:rPr>
      </w:pPr>
      <w:r>
        <w:rPr>
          <w:rFonts w:ascii="Arial" w:cs="Arial" w:eastAsia="Arial" w:hAnsi="Arial"/>
          <w:sz w:val="12"/>
          <w:szCs w:val="12"/>
          <w:color w:val="auto"/>
        </w:rPr>
        <w:t>the brain and results in abnormal movements, difficulties with speech, swallowing and walking, as well as a number of other symptoms including behavioral, cognitive and motor symptoms. 4,5 While there are therapies approved for specific disease symptoms, currently, there is no cure for HD and there are no approved drugs that delay the onset or slow disease progression.</w:t>
      </w:r>
    </w:p>
    <w:p>
      <w:pPr>
        <w:spacing w:after="0" w:line="123" w:lineRule="exact"/>
        <w:rPr>
          <w:sz w:val="20"/>
          <w:szCs w:val="20"/>
          <w:color w:val="auto"/>
        </w:rPr>
      </w:pPr>
    </w:p>
    <w:p>
      <w:pPr>
        <w:ind w:left="180"/>
        <w:spacing w:after="0"/>
        <w:rPr>
          <w:sz w:val="20"/>
          <w:szCs w:val="20"/>
          <w:color w:val="auto"/>
        </w:rPr>
      </w:pPr>
      <w:r>
        <w:rPr>
          <w:rFonts w:ascii="Arial" w:cs="Arial" w:eastAsia="Arial" w:hAnsi="Arial"/>
          <w:sz w:val="12"/>
          <w:szCs w:val="12"/>
          <w:b w:val="1"/>
          <w:bCs w:val="1"/>
          <w:color w:val="auto"/>
        </w:rPr>
        <w:t>About PTC Therapeutics, Inc.</w:t>
      </w:r>
    </w:p>
    <w:p>
      <w:pPr>
        <w:spacing w:after="0" w:line="9" w:lineRule="exact"/>
        <w:rPr>
          <w:sz w:val="20"/>
          <w:szCs w:val="20"/>
          <w:color w:val="auto"/>
        </w:rPr>
      </w:pPr>
    </w:p>
    <w:p>
      <w:pPr>
        <w:ind w:left="180" w:right="379"/>
        <w:spacing w:after="0" w:line="253" w:lineRule="auto"/>
        <w:rPr>
          <w:sz w:val="20"/>
          <w:szCs w:val="20"/>
          <w:color w:val="auto"/>
        </w:rPr>
      </w:pPr>
      <w:r>
        <w:rPr>
          <w:rFonts w:ascii="Arial" w:cs="Arial" w:eastAsia="Arial" w:hAnsi="Arial"/>
          <w:sz w:val="12"/>
          <w:szCs w:val="12"/>
          <w:color w:val="auto"/>
        </w:rPr>
        <w:t>PTC is a global biopharmaceutical company focused on the discovery, development and commercialization of clinically differentiated medicines that provide benefits to patients with rare disorders. PTC's ability to innovate to identify new therapies and to globally commercialize products is the foundation that drives investment in a robust and diversified pipeline of transformative medicines. PTC's mission is to provide access to best-in-class treatments for patients who have little to no treatment options. PTC's strategy is to leverage its strong scientific and clinical expertise and global commercial infrastructure to bring therapies to patients. PTC believes this allows it to maximize value for all its stakeholders. To learn more about PTC, please visit us at www.ptcbio.com and follow us on Facebook, Instagram, LinkedIn and Twitter at @PTCBio.</w:t>
      </w:r>
    </w:p>
    <w:p>
      <w:pPr>
        <w:spacing w:after="0" w:line="123" w:lineRule="exact"/>
        <w:rPr>
          <w:sz w:val="20"/>
          <w:szCs w:val="20"/>
          <w:color w:val="auto"/>
        </w:rPr>
      </w:pPr>
    </w:p>
    <w:p>
      <w:pPr>
        <w:ind w:left="180"/>
        <w:spacing w:after="0"/>
        <w:rPr>
          <w:sz w:val="20"/>
          <w:szCs w:val="20"/>
          <w:color w:val="auto"/>
        </w:rPr>
      </w:pPr>
      <w:r>
        <w:rPr>
          <w:rFonts w:ascii="Arial" w:cs="Arial" w:eastAsia="Arial" w:hAnsi="Arial"/>
          <w:sz w:val="12"/>
          <w:szCs w:val="12"/>
          <w:b w:val="1"/>
          <w:bCs w:val="1"/>
          <w:color w:val="auto"/>
        </w:rPr>
        <w:t>For More Information:</w:t>
      </w:r>
    </w:p>
    <w:p>
      <w:pPr>
        <w:spacing w:after="0" w:line="18" w:lineRule="exact"/>
        <w:rPr>
          <w:sz w:val="20"/>
          <w:szCs w:val="20"/>
          <w:color w:val="auto"/>
        </w:rPr>
      </w:pPr>
    </w:p>
    <w:p>
      <w:pPr>
        <w:ind w:left="180"/>
        <w:spacing w:after="0"/>
        <w:rPr>
          <w:sz w:val="20"/>
          <w:szCs w:val="20"/>
          <w:color w:val="auto"/>
        </w:rPr>
      </w:pPr>
      <w:r>
        <w:rPr>
          <w:rFonts w:ascii="Arial" w:cs="Arial" w:eastAsia="Arial" w:hAnsi="Arial"/>
          <w:sz w:val="12"/>
          <w:szCs w:val="12"/>
          <w:b w:val="1"/>
          <w:bCs w:val="1"/>
          <w:color w:val="auto"/>
        </w:rPr>
        <w:t>Investors:</w:t>
      </w:r>
    </w:p>
    <w:p>
      <w:pPr>
        <w:spacing w:after="0" w:line="6" w:lineRule="exact"/>
        <w:rPr>
          <w:sz w:val="20"/>
          <w:szCs w:val="20"/>
          <w:color w:val="auto"/>
        </w:rPr>
      </w:pPr>
    </w:p>
    <w:p>
      <w:pPr>
        <w:ind w:left="180"/>
        <w:spacing w:after="0"/>
        <w:rPr>
          <w:sz w:val="20"/>
          <w:szCs w:val="20"/>
          <w:color w:val="auto"/>
        </w:rPr>
      </w:pPr>
      <w:r>
        <w:rPr>
          <w:rFonts w:ascii="Arial" w:cs="Arial" w:eastAsia="Arial" w:hAnsi="Arial"/>
          <w:sz w:val="12"/>
          <w:szCs w:val="12"/>
          <w:color w:val="auto"/>
        </w:rPr>
        <w:t>Kylie O'Keefe</w:t>
      </w:r>
    </w:p>
    <w:p>
      <w:pPr>
        <w:spacing w:after="0" w:line="6" w:lineRule="exact"/>
        <w:rPr>
          <w:sz w:val="20"/>
          <w:szCs w:val="20"/>
          <w:color w:val="auto"/>
        </w:rPr>
      </w:pPr>
    </w:p>
    <w:p>
      <w:pPr>
        <w:ind w:left="180"/>
        <w:spacing w:after="0"/>
        <w:rPr>
          <w:sz w:val="20"/>
          <w:szCs w:val="20"/>
          <w:color w:val="auto"/>
        </w:rPr>
      </w:pPr>
      <w:r>
        <w:rPr>
          <w:rFonts w:ascii="Arial" w:cs="Arial" w:eastAsia="Arial" w:hAnsi="Arial"/>
          <w:sz w:val="12"/>
          <w:szCs w:val="12"/>
          <w:color w:val="auto"/>
        </w:rPr>
        <w:t>+1 (908) 300-0691</w:t>
      </w:r>
    </w:p>
    <w:p>
      <w:pPr>
        <w:spacing w:after="0" w:line="6" w:lineRule="exact"/>
        <w:rPr>
          <w:sz w:val="20"/>
          <w:szCs w:val="20"/>
          <w:color w:val="auto"/>
        </w:rPr>
      </w:pPr>
    </w:p>
    <w:p>
      <w:pPr>
        <w:ind w:left="180"/>
        <w:spacing w:after="0"/>
        <w:rPr>
          <w:sz w:val="20"/>
          <w:szCs w:val="20"/>
          <w:color w:val="auto"/>
        </w:rPr>
      </w:pPr>
      <w:r>
        <w:rPr>
          <w:rFonts w:ascii="Arial" w:cs="Arial" w:eastAsia="Arial" w:hAnsi="Arial"/>
          <w:sz w:val="12"/>
          <w:szCs w:val="12"/>
          <w:color w:val="auto"/>
        </w:rPr>
        <w:t>kokeefe@ptcbio.com</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2"/>
          <w:szCs w:val="12"/>
          <w:b w:val="1"/>
          <w:bCs w:val="1"/>
          <w:color w:val="auto"/>
        </w:rPr>
        <w:t>Media:</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2"/>
          <w:szCs w:val="12"/>
          <w:color w:val="auto"/>
        </w:rPr>
        <w:t>Jeanine Clemente</w:t>
      </w:r>
    </w:p>
    <w:p>
      <w:pPr>
        <w:ind w:left="180"/>
        <w:spacing w:after="0"/>
        <w:rPr>
          <w:sz w:val="20"/>
          <w:szCs w:val="20"/>
          <w:color w:val="auto"/>
        </w:rPr>
      </w:pPr>
      <w:r>
        <w:rPr>
          <w:rFonts w:ascii="Arial" w:cs="Arial" w:eastAsia="Arial" w:hAnsi="Arial"/>
          <w:sz w:val="12"/>
          <w:szCs w:val="12"/>
          <w:color w:val="auto"/>
        </w:rPr>
        <w:t>+1 (908) 912-9406</w:t>
      </w:r>
    </w:p>
    <w:p>
      <w:pPr>
        <w:spacing w:after="0" w:line="6" w:lineRule="exact"/>
        <w:rPr>
          <w:sz w:val="20"/>
          <w:szCs w:val="20"/>
          <w:color w:val="auto"/>
        </w:rPr>
      </w:pPr>
    </w:p>
    <w:p>
      <w:pPr>
        <w:ind w:left="180"/>
        <w:spacing w:after="0"/>
        <w:rPr>
          <w:sz w:val="20"/>
          <w:szCs w:val="20"/>
          <w:color w:val="auto"/>
        </w:rPr>
      </w:pPr>
      <w:r>
        <w:rPr>
          <w:rFonts w:ascii="Arial" w:cs="Arial" w:eastAsia="Arial" w:hAnsi="Arial"/>
          <w:sz w:val="12"/>
          <w:szCs w:val="12"/>
          <w:color w:val="auto"/>
        </w:rPr>
        <w:t>jclemente@ptcbio.com</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2"/>
          <w:szCs w:val="12"/>
          <w:b w:val="1"/>
          <w:bCs w:val="1"/>
          <w:color w:val="auto"/>
        </w:rPr>
        <w:t>Forward-Looking Statement</w:t>
      </w:r>
    </w:p>
    <w:p>
      <w:pPr>
        <w:spacing w:after="0" w:line="18" w:lineRule="exact"/>
        <w:rPr>
          <w:sz w:val="20"/>
          <w:szCs w:val="20"/>
          <w:color w:val="auto"/>
        </w:rPr>
      </w:pPr>
    </w:p>
    <w:p>
      <w:pPr>
        <w:ind w:left="180" w:right="239"/>
        <w:spacing w:after="0" w:line="250" w:lineRule="auto"/>
        <w:rPr>
          <w:sz w:val="20"/>
          <w:szCs w:val="20"/>
          <w:color w:val="auto"/>
        </w:rPr>
      </w:pPr>
      <w:r>
        <w:rPr>
          <w:rFonts w:ascii="Arial" w:cs="Arial" w:eastAsia="Arial" w:hAnsi="Arial"/>
          <w:sz w:val="12"/>
          <w:szCs w:val="12"/>
          <w:color w:val="auto"/>
        </w:rPr>
        <w:t>This press release contains forward-looking statements within the meaning of The Private Securities Litigation Reform Act of 1995. All statements contained in this press release, other than statements of historic fact, are forward-looking statements, including statements with respect to the future expectations, plans and prospects for PTC, PTC's strategy, including with respect to the expected timing of clinical trials and studies, availability of data, regulatory submissions and responses and other matters, future operations, future financial position, future revenues, projected costs; and the objectives of management. Other forward-looking statements may be identified by the words, "guidance", "plan," "anticipate," "believe," "estimate," "expect," "intend," "may," "target," "potential," "will," "would," "could," "should," "continue," and similar expressions.</w:t>
      </w:r>
    </w:p>
    <w:p>
      <w:pPr>
        <w:spacing w:after="0" w:line="134" w:lineRule="exact"/>
        <w:rPr>
          <w:sz w:val="20"/>
          <w:szCs w:val="20"/>
          <w:color w:val="auto"/>
        </w:rPr>
      </w:pPr>
    </w:p>
    <w:p>
      <w:pPr>
        <w:ind w:left="180" w:right="279"/>
        <w:spacing w:after="0" w:line="256" w:lineRule="auto"/>
        <w:rPr>
          <w:sz w:val="20"/>
          <w:szCs w:val="20"/>
          <w:color w:val="auto"/>
        </w:rPr>
      </w:pPr>
      <w:r>
        <w:rPr>
          <w:rFonts w:ascii="Arial" w:cs="Arial" w:eastAsia="Arial" w:hAnsi="Arial"/>
          <w:sz w:val="12"/>
          <w:szCs w:val="12"/>
          <w:color w:val="auto"/>
        </w:rPr>
        <w:t>PTC's actual results, performance or achievements could differ materially from those expressed or implied by forward-looking statements it makes as a result of a variety of risks and uncertainties, including those related to: the outcome of pricing, coverage and reimbursement negotiations with third party payors for PTC's products or product candidates that PTC commercializes or may commercialize in the future; significant business effects, including the effects of industry, market, economic, political or regulatory conditions; changes in tax and other laws, regulations, rates and policies; the eligible patient base and commercial potential of PTC's products and product candidates; PTC's scientific approach and general development progress; the sufficiency of PTC's cash resources and its ability to</w:t>
      </w:r>
    </w:p>
    <w:p>
      <w:pPr>
        <w:spacing w:after="0" w:line="2" w:lineRule="exact"/>
        <w:rPr>
          <w:sz w:val="20"/>
          <w:szCs w:val="20"/>
          <w:color w:val="auto"/>
        </w:rPr>
      </w:pPr>
    </w:p>
    <w:p>
      <w:pPr>
        <w:jc w:val="both"/>
        <w:ind w:left="180" w:right="299"/>
        <w:spacing w:after="0" w:line="268" w:lineRule="auto"/>
        <w:rPr>
          <w:sz w:val="20"/>
          <w:szCs w:val="20"/>
          <w:color w:val="auto"/>
        </w:rPr>
      </w:pPr>
      <w:r>
        <w:rPr>
          <w:rFonts w:ascii="Arial" w:cs="Arial" w:eastAsia="Arial" w:hAnsi="Arial"/>
          <w:sz w:val="12"/>
          <w:szCs w:val="12"/>
          <w:color w:val="auto"/>
        </w:rPr>
        <w:t>obtain adequate financing in the future for its foreseeable and unforeseeable operating expenses and capital expenditures; and the factors discussed in the "Risk Factors" section of PTC's most recent Annual Report on Form 10-K, as well as any updates to these risk factors filed from time to time in PTC's other filings with the SEC. You are urged to carefully consider all such factors.</w:t>
      </w:r>
    </w:p>
    <w:p>
      <w:pPr>
        <w:spacing w:after="0" w:line="132" w:lineRule="exact"/>
        <w:rPr>
          <w:sz w:val="20"/>
          <w:szCs w:val="20"/>
          <w:color w:val="auto"/>
        </w:rPr>
      </w:pPr>
    </w:p>
    <w:p>
      <w:pPr>
        <w:jc w:val="both"/>
        <w:ind w:left="180" w:right="299"/>
        <w:spacing w:after="0" w:line="301" w:lineRule="auto"/>
        <w:rPr>
          <w:sz w:val="20"/>
          <w:szCs w:val="20"/>
          <w:color w:val="auto"/>
        </w:rPr>
      </w:pPr>
      <w:r>
        <w:rPr>
          <w:rFonts w:ascii="Arial" w:cs="Arial" w:eastAsia="Arial" w:hAnsi="Arial"/>
          <w:sz w:val="12"/>
          <w:szCs w:val="12"/>
          <w:color w:val="auto"/>
        </w:rPr>
        <w:t>As with any pharmaceutical under development, there are significant risks in the development, regulatory approval and commercialization of new products. There are no guarantees that any product will receive or maintain regulatory approval in any territory, or prove to be commercially successful.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570865</wp:posOffset>
            </wp:positionV>
            <wp:extent cx="54864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86400" cy="17145"/>
                    </a:xfrm>
                    <a:prstGeom prst="rect">
                      <a:avLst/>
                    </a:prstGeom>
                    <a:noFill/>
                  </pic:spPr>
                </pic:pic>
              </a:graphicData>
            </a:graphic>
          </wp:anchor>
        </w:drawing>
      </w:r>
    </w:p>
    <w:p>
      <w:pPr>
        <w:sectPr>
          <w:pgSz w:w="11900" w:h="16838" w:orient="portrait"/>
          <w:cols w:equalWidth="0" w:num="1">
            <w:col w:w="9019"/>
          </w:cols>
          <w:pgMar w:left="1440" w:top="919" w:right="1440" w:bottom="1440" w:gutter="0" w:footer="0" w:header="0"/>
        </w:sectPr>
      </w:pPr>
    </w:p>
    <w:bookmarkStart w:id="5" w:name="page6"/>
    <w:bookmarkEnd w:id="5"/>
    <w:p>
      <w:pPr>
        <w:jc w:val="both"/>
        <w:ind w:left="180" w:right="239"/>
        <w:spacing w:after="0" w:line="284" w:lineRule="auto"/>
        <w:rPr>
          <w:sz w:val="20"/>
          <w:szCs w:val="20"/>
          <w:color w:val="auto"/>
        </w:rPr>
      </w:pPr>
      <w:r>
        <w:rPr>
          <w:rFonts w:ascii="Arial" w:cs="Arial" w:eastAsia="Arial" w:hAnsi="Arial"/>
          <w:sz w:val="12"/>
          <w:szCs w:val="12"/>
          <w:color w:val="auto"/>
        </w:rPr>
        <w:t>The forward-looking statements contained herein represent PTC's views only as of the date of this press release and PTC does not undertake or plan to update or revise any such forward-looking statements to reflect actual results or changes in plans, prospects, assumptions, estimates or projections, or other circumstances occurring after the date of this press release except as required by law.</w:t>
      </w:r>
    </w:p>
    <w:p>
      <w:pPr>
        <w:spacing w:after="0" w:line="266" w:lineRule="exact"/>
        <w:rPr>
          <w:sz w:val="20"/>
          <w:szCs w:val="20"/>
          <w:color w:val="auto"/>
        </w:rPr>
      </w:pPr>
    </w:p>
    <w:p>
      <w:pPr>
        <w:ind w:left="180"/>
        <w:spacing w:after="0"/>
        <w:rPr>
          <w:sz w:val="20"/>
          <w:szCs w:val="20"/>
          <w:color w:val="auto"/>
        </w:rPr>
      </w:pPr>
      <w:r>
        <w:rPr>
          <w:rFonts w:ascii="Arial" w:cs="Arial" w:eastAsia="Arial" w:hAnsi="Arial"/>
          <w:sz w:val="12"/>
          <w:szCs w:val="12"/>
          <w:b w:val="1"/>
          <w:bCs w:val="1"/>
          <w:color w:val="auto"/>
        </w:rPr>
        <w:t>Acronyms:</w:t>
      </w:r>
    </w:p>
    <w:p>
      <w:pPr>
        <w:spacing w:after="0" w:line="168" w:lineRule="exact"/>
        <w:rPr>
          <w:sz w:val="20"/>
          <w:szCs w:val="20"/>
          <w:color w:val="auto"/>
        </w:rPr>
      </w:pPr>
    </w:p>
    <w:p>
      <w:pPr>
        <w:ind w:left="180"/>
        <w:spacing w:after="0"/>
        <w:rPr>
          <w:sz w:val="20"/>
          <w:szCs w:val="20"/>
          <w:color w:val="auto"/>
        </w:rPr>
      </w:pPr>
      <w:r>
        <w:rPr>
          <w:rFonts w:ascii="Arial" w:cs="Arial" w:eastAsia="Arial" w:hAnsi="Arial"/>
          <w:sz w:val="12"/>
          <w:szCs w:val="12"/>
          <w:color w:val="auto"/>
        </w:rPr>
        <w:t>CNS: Central Nervous System</w:t>
      </w:r>
    </w:p>
    <w:p>
      <w:pPr>
        <w:spacing w:after="0" w:line="168" w:lineRule="exact"/>
        <w:rPr>
          <w:sz w:val="20"/>
          <w:szCs w:val="20"/>
          <w:color w:val="auto"/>
        </w:rPr>
      </w:pPr>
    </w:p>
    <w:p>
      <w:pPr>
        <w:ind w:left="180"/>
        <w:spacing w:after="0"/>
        <w:rPr>
          <w:sz w:val="20"/>
          <w:szCs w:val="20"/>
          <w:color w:val="auto"/>
        </w:rPr>
      </w:pPr>
      <w:r>
        <w:rPr>
          <w:rFonts w:ascii="Arial" w:cs="Arial" w:eastAsia="Arial" w:hAnsi="Arial"/>
          <w:sz w:val="12"/>
          <w:szCs w:val="12"/>
          <w:color w:val="auto"/>
        </w:rPr>
        <w:t>CSF: Cerebrospinal Fluid</w:t>
      </w:r>
    </w:p>
    <w:p>
      <w:pPr>
        <w:spacing w:after="0" w:line="168" w:lineRule="exact"/>
        <w:rPr>
          <w:sz w:val="20"/>
          <w:szCs w:val="20"/>
          <w:color w:val="auto"/>
        </w:rPr>
      </w:pPr>
    </w:p>
    <w:p>
      <w:pPr>
        <w:ind w:left="180"/>
        <w:spacing w:after="0"/>
        <w:rPr>
          <w:sz w:val="20"/>
          <w:szCs w:val="20"/>
          <w:color w:val="auto"/>
        </w:rPr>
      </w:pPr>
      <w:r>
        <w:rPr>
          <w:rFonts w:ascii="Arial" w:cs="Arial" w:eastAsia="Arial" w:hAnsi="Arial"/>
          <w:sz w:val="12"/>
          <w:szCs w:val="12"/>
          <w:color w:val="auto"/>
        </w:rPr>
        <w:t>FDA: U.S. Food and Drug Administration</w:t>
      </w:r>
    </w:p>
    <w:p>
      <w:pPr>
        <w:spacing w:after="0" w:line="200" w:lineRule="exact"/>
        <w:rPr>
          <w:sz w:val="20"/>
          <w:szCs w:val="20"/>
          <w:color w:val="auto"/>
        </w:rPr>
      </w:pPr>
    </w:p>
    <w:p>
      <w:pPr>
        <w:spacing w:after="0" w:line="283" w:lineRule="exact"/>
        <w:rPr>
          <w:sz w:val="20"/>
          <w:szCs w:val="20"/>
          <w:color w:val="auto"/>
        </w:rPr>
      </w:pPr>
    </w:p>
    <w:p>
      <w:pPr>
        <w:ind w:left="180"/>
        <w:spacing w:after="0"/>
        <w:rPr>
          <w:sz w:val="20"/>
          <w:szCs w:val="20"/>
          <w:color w:val="auto"/>
        </w:rPr>
      </w:pPr>
      <w:r>
        <w:rPr>
          <w:rFonts w:ascii="Arial" w:cs="Arial" w:eastAsia="Arial" w:hAnsi="Arial"/>
          <w:sz w:val="12"/>
          <w:szCs w:val="12"/>
          <w:b w:val="1"/>
          <w:bCs w:val="1"/>
          <w:color w:val="auto"/>
        </w:rPr>
        <w:t>References:</w:t>
      </w:r>
    </w:p>
    <w:p>
      <w:pPr>
        <w:spacing w:after="0" w:line="18" w:lineRule="exact"/>
        <w:rPr>
          <w:sz w:val="20"/>
          <w:szCs w:val="20"/>
          <w:color w:val="auto"/>
        </w:rPr>
      </w:pPr>
    </w:p>
    <w:p>
      <w:pPr>
        <w:ind w:left="620" w:right="399" w:hanging="223"/>
        <w:spacing w:after="0" w:line="250" w:lineRule="auto"/>
        <w:tabs>
          <w:tab w:leader="none" w:pos="620" w:val="left"/>
        </w:tabs>
        <w:numPr>
          <w:ilvl w:val="0"/>
          <w:numId w:val="2"/>
        </w:numPr>
        <w:rPr>
          <w:rFonts w:ascii="Arial" w:cs="Arial" w:eastAsia="Arial" w:hAnsi="Arial"/>
          <w:sz w:val="12"/>
          <w:szCs w:val="12"/>
          <w:color w:val="auto"/>
        </w:rPr>
      </w:pPr>
      <w:r>
        <w:rPr>
          <w:rFonts w:ascii="Arial" w:cs="Arial" w:eastAsia="Arial" w:hAnsi="Arial"/>
          <w:sz w:val="12"/>
          <w:szCs w:val="12"/>
          <w:color w:val="auto"/>
        </w:rPr>
        <w:t>World Health Organization, 2020. 8A01.10 Huntington disease. Available at: https://icd.who.int/browse11/l-m/en#/http://id.who.int/icd/entity/2132180242 Accessed October 2021.</w:t>
      </w:r>
    </w:p>
    <w:p>
      <w:pPr>
        <w:ind w:left="620" w:hanging="223"/>
        <w:spacing w:after="0"/>
        <w:tabs>
          <w:tab w:leader="none" w:pos="620" w:val="left"/>
        </w:tabs>
        <w:numPr>
          <w:ilvl w:val="0"/>
          <w:numId w:val="2"/>
        </w:numPr>
        <w:rPr>
          <w:rFonts w:ascii="Arial" w:cs="Arial" w:eastAsia="Arial" w:hAnsi="Arial"/>
          <w:sz w:val="12"/>
          <w:szCs w:val="12"/>
          <w:color w:val="auto"/>
        </w:rPr>
      </w:pPr>
      <w:r>
        <w:rPr>
          <w:rFonts w:ascii="Arial" w:cs="Arial" w:eastAsia="Arial" w:hAnsi="Arial"/>
          <w:sz w:val="12"/>
          <w:szCs w:val="12"/>
          <w:color w:val="auto"/>
        </w:rPr>
        <w:t>Gatto EM, González Rojas N, Persi G, et al. Clin Parkinsonism Rel Disord 2020;3:100056.</w:t>
      </w:r>
    </w:p>
    <w:p>
      <w:pPr>
        <w:spacing w:after="0" w:line="8" w:lineRule="exact"/>
        <w:rPr>
          <w:rFonts w:ascii="Arial" w:cs="Arial" w:eastAsia="Arial" w:hAnsi="Arial"/>
          <w:sz w:val="12"/>
          <w:szCs w:val="12"/>
          <w:color w:val="auto"/>
        </w:rPr>
      </w:pPr>
    </w:p>
    <w:p>
      <w:pPr>
        <w:ind w:left="620" w:hanging="223"/>
        <w:spacing w:after="0"/>
        <w:tabs>
          <w:tab w:leader="none" w:pos="620" w:val="left"/>
        </w:tabs>
        <w:numPr>
          <w:ilvl w:val="0"/>
          <w:numId w:val="2"/>
        </w:numPr>
        <w:rPr>
          <w:rFonts w:ascii="Arial" w:cs="Arial" w:eastAsia="Arial" w:hAnsi="Arial"/>
          <w:sz w:val="12"/>
          <w:szCs w:val="12"/>
          <w:color w:val="auto"/>
        </w:rPr>
      </w:pPr>
      <w:r>
        <w:rPr>
          <w:rFonts w:ascii="Arial" w:cs="Arial" w:eastAsia="Arial" w:hAnsi="Arial"/>
          <w:sz w:val="12"/>
          <w:szCs w:val="12"/>
          <w:color w:val="auto"/>
        </w:rPr>
        <w:t>Tabrizi SJ, Flower MD, Ross CA, et al. Nat Rev Neurol 2020;16(10):529–546.</w:t>
      </w:r>
    </w:p>
    <w:p>
      <w:pPr>
        <w:spacing w:after="0" w:line="15" w:lineRule="exact"/>
        <w:rPr>
          <w:rFonts w:ascii="Arial" w:cs="Arial" w:eastAsia="Arial" w:hAnsi="Arial"/>
          <w:sz w:val="12"/>
          <w:szCs w:val="12"/>
          <w:color w:val="auto"/>
        </w:rPr>
      </w:pPr>
    </w:p>
    <w:p>
      <w:pPr>
        <w:ind w:left="620" w:hanging="223"/>
        <w:spacing w:after="0"/>
        <w:tabs>
          <w:tab w:leader="none" w:pos="620" w:val="left"/>
        </w:tabs>
        <w:numPr>
          <w:ilvl w:val="0"/>
          <w:numId w:val="2"/>
        </w:numPr>
        <w:rPr>
          <w:rFonts w:ascii="Arial" w:cs="Arial" w:eastAsia="Arial" w:hAnsi="Arial"/>
          <w:sz w:val="12"/>
          <w:szCs w:val="12"/>
          <w:color w:val="auto"/>
        </w:rPr>
      </w:pPr>
      <w:r>
        <w:rPr>
          <w:rFonts w:ascii="Arial" w:cs="Arial" w:eastAsia="Arial" w:hAnsi="Arial"/>
          <w:sz w:val="12"/>
          <w:szCs w:val="12"/>
          <w:color w:val="auto"/>
        </w:rPr>
        <w:t>Roos RAC. Orphanet J Rare Dis 2010;5:40.</w:t>
      </w:r>
    </w:p>
    <w:p>
      <w:pPr>
        <w:spacing w:after="0" w:line="15" w:lineRule="exact"/>
        <w:rPr>
          <w:rFonts w:ascii="Arial" w:cs="Arial" w:eastAsia="Arial" w:hAnsi="Arial"/>
          <w:sz w:val="12"/>
          <w:szCs w:val="12"/>
          <w:color w:val="auto"/>
        </w:rPr>
      </w:pPr>
    </w:p>
    <w:p>
      <w:pPr>
        <w:ind w:left="640" w:hanging="243"/>
        <w:spacing w:after="0"/>
        <w:tabs>
          <w:tab w:leader="none" w:pos="640" w:val="left"/>
        </w:tabs>
        <w:numPr>
          <w:ilvl w:val="0"/>
          <w:numId w:val="2"/>
        </w:numPr>
        <w:rPr>
          <w:rFonts w:ascii="Arial" w:cs="Arial" w:eastAsia="Arial" w:hAnsi="Arial"/>
          <w:sz w:val="12"/>
          <w:szCs w:val="12"/>
          <w:color w:val="auto"/>
        </w:rPr>
      </w:pPr>
      <w:r>
        <w:rPr>
          <w:rFonts w:ascii="Arial" w:cs="Arial" w:eastAsia="Arial" w:hAnsi="Arial"/>
          <w:sz w:val="12"/>
          <w:szCs w:val="12"/>
          <w:color w:val="auto"/>
        </w:rPr>
        <w:t>Kirkwood SC, Su JL, Conneally P, et al. Arch Neurol 2001;58(2):273–278.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574040</wp:posOffset>
            </wp:positionV>
            <wp:extent cx="548640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86400" cy="1714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2024-06-20T07:06:40Z</dcterms:created>
  <dcterms:modified xsi:type="dcterms:W3CDTF">2024-06-20T07:06:40Z</dcterms:modified>
</cp:coreProperties>
</file>