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517525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November 3, 2026</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PTC THERAPEUTICS, INC.</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Company as Specified in Charter)</w:t>
      </w:r>
    </w:p>
    <w:p>
      <w:pPr>
        <w:sectPr>
          <w:pgSz w:w="11900" w:h="16838" w:orient="portrait"/>
          <w:cols w:equalWidth="0" w:num="1">
            <w:col w:w="9019"/>
          </w:cols>
          <w:pgMar w:left="1440" w:top="880" w:right="1440" w:bottom="1440" w:gutter="0" w:footer="0" w:header="0"/>
        </w:sectPr>
      </w:pPr>
    </w:p>
    <w:p>
      <w:pPr>
        <w:spacing w:after="0" w:line="233"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001-35969</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6"/>
          <w:szCs w:val="16"/>
          <w:b w:val="1"/>
          <w:bCs w:val="1"/>
          <w:color w:val="auto"/>
        </w:rPr>
        <w:t>04-3416587</w:t>
      </w:r>
    </w:p>
    <w:p>
      <w:pPr>
        <w:spacing w:after="0" w:line="28"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5">
            <w:col w:w="2320" w:space="640"/>
            <w:col w:w="340" w:space="720"/>
            <w:col w:w="1240" w:space="720"/>
            <w:col w:w="200" w:space="720"/>
            <w:col w:w="2119"/>
          </w:cols>
          <w:pgMar w:left="1440" w:top="880" w:right="1440" w:bottom="1440" w:gutter="0" w:footer="0" w:header="0"/>
          <w:type w:val="continuous"/>
        </w:sectPr>
      </w:pPr>
    </w:p>
    <w:p>
      <w:pPr>
        <w:spacing w:after="0" w:line="38"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500 Warren Corporate Center Drive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4"/>
          <w:szCs w:val="24"/>
          <w:color w:val="auto"/>
        </w:rPr>
      </w:pPr>
    </w:p>
    <w:p>
      <w:pPr>
        <w:sectPr>
          <w:pgSz w:w="11900" w:h="16838" w:orient="portrait"/>
          <w:cols w:equalWidth="0" w:num="2">
            <w:col w:w="3860" w:space="720"/>
            <w:col w:w="4439"/>
          </w:cols>
          <w:pgMar w:left="1440" w:top="880" w:right="1440" w:bottom="1440" w:gutter="0" w:footer="0" w:header="0"/>
          <w:type w:val="continuous"/>
        </w:sect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Warren, NJ</w:t>
      </w:r>
    </w:p>
    <w:p>
      <w:pPr>
        <w:spacing w:after="0" w:line="1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59"/>
        <w:spacing w:after="0"/>
        <w:rPr>
          <w:sz w:val="20"/>
          <w:szCs w:val="20"/>
          <w:color w:val="auto"/>
        </w:rPr>
      </w:pPr>
      <w:r>
        <w:rPr>
          <w:rFonts w:ascii="Times New Roman" w:cs="Times New Roman" w:eastAsia="Times New Roman" w:hAnsi="Times New Roman"/>
          <w:sz w:val="16"/>
          <w:szCs w:val="16"/>
          <w:b w:val="1"/>
          <w:bCs w:val="1"/>
          <w:color w:val="auto"/>
        </w:rPr>
        <w:t>07059</w:t>
      </w:r>
    </w:p>
    <w:p>
      <w:pPr>
        <w:spacing w:after="0" w:line="19" w:lineRule="exact"/>
        <w:rPr>
          <w:sz w:val="24"/>
          <w:szCs w:val="24"/>
          <w:color w:val="auto"/>
        </w:rPr>
      </w:pPr>
    </w:p>
    <w:p>
      <w:pPr>
        <w:jc w:val="center"/>
        <w:ind w:right="2259"/>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5320" w:space="720"/>
            <w:col w:w="2979"/>
          </w:cols>
          <w:pgMar w:left="1440" w:top="880" w:right="1440"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(908) 222-7000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13" w:lineRule="exact"/>
        <w:rPr>
          <w:sz w:val="24"/>
          <w:szCs w:val="24"/>
          <w:color w:val="auto"/>
        </w:rPr>
      </w:pPr>
    </w:p>
    <w:p>
      <w:pPr>
        <w:ind w:left="60" w:right="579" w:firstLine="648"/>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151" w:lineRule="exact"/>
        <w:rPr>
          <w:sz w:val="24"/>
          <w:szCs w:val="24"/>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40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Trading Symbol(s)</w:t>
            </w:r>
          </w:p>
        </w:tc>
        <w:tc>
          <w:tcPr>
            <w:tcW w:w="3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210"/>
        </w:trPr>
        <w:tc>
          <w:tcPr>
            <w:tcW w:w="3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60" w:type="dxa"/>
            <w:vAlign w:val="bottom"/>
          </w:tcPr>
          <w:p>
            <w:pPr>
              <w:spacing w:after="0"/>
              <w:rPr>
                <w:sz w:val="18"/>
                <w:szCs w:val="18"/>
                <w:color w:val="auto"/>
              </w:rPr>
            </w:pPr>
          </w:p>
        </w:tc>
        <w:tc>
          <w:tcPr>
            <w:tcW w:w="17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PTCT</w:t>
            </w:r>
          </w:p>
        </w:tc>
        <w:tc>
          <w:tcPr>
            <w:tcW w:w="180" w:type="dxa"/>
            <w:vAlign w:val="bottom"/>
          </w:tcPr>
          <w:p>
            <w:pPr>
              <w:spacing w:after="0"/>
              <w:rPr>
                <w:sz w:val="18"/>
                <w:szCs w:val="18"/>
                <w:color w:val="auto"/>
              </w:rPr>
            </w:pPr>
          </w:p>
        </w:tc>
        <w:tc>
          <w:tcPr>
            <w:tcW w:w="33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1"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7" w:lineRule="exact"/>
        <w:rPr>
          <w:sz w:val="24"/>
          <w:szCs w:val="24"/>
          <w:color w:val="auto"/>
        </w:r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107315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0"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ind w:left="60" w:right="599"/>
        <w:spacing w:after="0" w:line="266" w:lineRule="auto"/>
        <w:rPr>
          <w:sz w:val="20"/>
          <w:szCs w:val="20"/>
          <w:color w:val="auto"/>
        </w:rPr>
      </w:pPr>
      <w:r>
        <w:rPr>
          <w:rFonts w:ascii="Times New Roman" w:cs="Times New Roman" w:eastAsia="Times New Roman" w:hAnsi="Times New Roman"/>
          <w:sz w:val="18"/>
          <w:szCs w:val="18"/>
          <w:color w:val="auto"/>
        </w:rPr>
        <w:t>On November 3, 2026, PTC Therapeutics, Inc. (the “Company”) issued a press release announcing that its Board of Directors (the “Board”) authorized a share repurchase program. The press release is furnished as Exhibit 99.1 to this Current Report on Form 8-K (this “Report”) and is incorporated by reference into this Item 7.01.</w:t>
      </w:r>
    </w:p>
    <w:p>
      <w:pPr>
        <w:spacing w:after="0" w:line="149"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All website addresses given in this Report or incorporated herein by reference are for information only and are not intended to be an active link or to incorporate any website information into this Report.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November 3, 2026, the Company issued a press release announcing that its Board authorized a</w:t>
      </w:r>
    </w:p>
    <w:p>
      <w:pPr>
        <w:spacing w:after="0" w:line="27" w:lineRule="exact"/>
        <w:rPr>
          <w:sz w:val="20"/>
          <w:szCs w:val="20"/>
          <w:color w:val="auto"/>
        </w:rPr>
      </w:pPr>
    </w:p>
    <w:p>
      <w:pPr>
        <w:ind w:left="60" w:right="459"/>
        <w:spacing w:after="0" w:line="260" w:lineRule="auto"/>
        <w:rPr>
          <w:sz w:val="20"/>
          <w:szCs w:val="20"/>
          <w:color w:val="auto"/>
        </w:rPr>
      </w:pPr>
      <w:r>
        <w:rPr>
          <w:rFonts w:ascii="Times New Roman" w:cs="Times New Roman" w:eastAsia="Times New Roman" w:hAnsi="Times New Roman"/>
          <w:sz w:val="18"/>
          <w:szCs w:val="18"/>
          <w:color w:val="auto"/>
        </w:rPr>
        <w:t>share repurchase program under which the Company may repurchase up to $500.0 million of the Company’s common stock, par value $0.001 per share (the “Common Stock”).</w:t>
      </w:r>
    </w:p>
    <w:p>
      <w:pPr>
        <w:spacing w:after="0" w:line="181"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Share repurchases may be made from time to time at management's discretion through a variety of methods, such as open-market transactions including pre-set trading plans, privately negotiated transactions, accelerated share repurchases, and other transactions in accordance with applicable securities laws.</w:t>
      </w:r>
    </w:p>
    <w:p>
      <w:pPr>
        <w:spacing w:after="0" w:line="1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Information regarding any share repurchases will be available in the Company’s periodic reports on Form 10-Q and Form 10-K filed with the Securities and Exchange Commission as required by the applicable rules of the Exchange Act.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1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96"/>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32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4"/>
                <w:szCs w:val="14"/>
                <w:color w:val="auto"/>
              </w:rPr>
            </w:pPr>
          </w:p>
        </w:tc>
        <w:tc>
          <w:tcPr>
            <w:tcW w:w="74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3, 2026 issued by PTC Therapeutics, Inc.</w:t>
            </w:r>
          </w:p>
        </w:tc>
      </w:tr>
      <w:tr>
        <w:trPr>
          <w:trHeight w:val="20"/>
        </w:trPr>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7"/>
        </w:trPr>
        <w:tc>
          <w:tcPr>
            <w:tcW w:w="13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979"/>
        </w:trPr>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580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PTC Therapeutics, Inc.</w:t>
            </w:r>
          </w:p>
        </w:tc>
      </w:tr>
      <w:tr>
        <w:trPr>
          <w:trHeight w:val="43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3, 2026</w:t>
            </w:r>
          </w:p>
        </w:tc>
        <w:tc>
          <w:tcPr>
            <w:tcW w:w="1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Pierre Gravier</w:t>
            </w:r>
          </w:p>
        </w:tc>
      </w:tr>
      <w:tr>
        <w:trPr>
          <w:trHeight w:val="191"/>
        </w:trPr>
        <w:tc>
          <w:tcPr>
            <w:tcW w:w="3120" w:type="dxa"/>
            <w:vAlign w:val="bottom"/>
          </w:tcPr>
          <w:p>
            <w:pPr>
              <w:spacing w:after="0"/>
              <w:rPr>
                <w:sz w:val="16"/>
                <w:szCs w:val="16"/>
                <w:color w:val="auto"/>
              </w:rPr>
            </w:pPr>
          </w:p>
        </w:tc>
        <w:tc>
          <w:tcPr>
            <w:tcW w:w="1860" w:type="dxa"/>
            <w:vAlign w:val="bottom"/>
          </w:tcPr>
          <w:p>
            <w:pPr>
              <w:ind w:left="13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Pierre Gravier</w:t>
            </w:r>
          </w:p>
        </w:tc>
      </w:tr>
      <w:tr>
        <w:trPr>
          <w:trHeight w:val="234"/>
        </w:trPr>
        <w:tc>
          <w:tcPr>
            <w:tcW w:w="3120" w:type="dxa"/>
            <w:vAlign w:val="bottom"/>
          </w:tcPr>
          <w:p>
            <w:pPr>
              <w:spacing w:after="0"/>
              <w:rPr>
                <w:sz w:val="20"/>
                <w:szCs w:val="20"/>
                <w:color w:val="auto"/>
              </w:rPr>
            </w:pPr>
          </w:p>
        </w:tc>
        <w:tc>
          <w:tcPr>
            <w:tcW w:w="1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3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1"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960120" cy="591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12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PTC Therapeutics Board of Directors Authorizes $500 Million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 Repurchase Program</w:t>
      </w:r>
    </w:p>
    <w:p>
      <w:pPr>
        <w:spacing w:after="0" w:line="221" w:lineRule="exact"/>
        <w:rPr>
          <w:sz w:val="20"/>
          <w:szCs w:val="20"/>
          <w:color w:val="auto"/>
        </w:rPr>
      </w:pPr>
    </w:p>
    <w:p>
      <w:pPr>
        <w:jc w:val="both"/>
        <w:ind w:left="200" w:right="379"/>
        <w:spacing w:after="0" w:line="290" w:lineRule="auto"/>
        <w:rPr>
          <w:sz w:val="20"/>
          <w:szCs w:val="20"/>
          <w:color w:val="auto"/>
        </w:rPr>
      </w:pPr>
      <w:r>
        <w:rPr>
          <w:rFonts w:ascii="Arial" w:cs="Arial" w:eastAsia="Arial" w:hAnsi="Arial"/>
          <w:sz w:val="18"/>
          <w:szCs w:val="18"/>
          <w:b w:val="1"/>
          <w:bCs w:val="1"/>
          <w:color w:val="auto"/>
        </w:rPr>
        <w:t xml:space="preserve">WARREN, N.J., Nov. 3, 2026 </w:t>
      </w:r>
      <w:r>
        <w:rPr>
          <w:rFonts w:ascii="Arial" w:cs="Arial" w:eastAsia="Arial" w:hAnsi="Arial"/>
          <w:sz w:val="18"/>
          <w:szCs w:val="18"/>
          <w:color w:val="auto"/>
        </w:rPr>
        <w:t>– PTC Therapeutics, Inc., (NASDAQ: PTCT) today announced that its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has authorized a share repurchase program under which PTC may repurchase up to $500 million of the Company’s outstanding shares of common stock, subject to market conditions.</w:t>
      </w:r>
    </w:p>
    <w:p>
      <w:pPr>
        <w:spacing w:after="0" w:line="141" w:lineRule="exact"/>
        <w:rPr>
          <w:sz w:val="20"/>
          <w:szCs w:val="20"/>
          <w:color w:val="auto"/>
        </w:rPr>
      </w:pPr>
    </w:p>
    <w:p>
      <w:pPr>
        <w:ind w:left="200" w:right="279"/>
        <w:spacing w:after="0" w:line="256" w:lineRule="auto"/>
        <w:rPr>
          <w:sz w:val="20"/>
          <w:szCs w:val="20"/>
          <w:color w:val="auto"/>
        </w:rPr>
      </w:pPr>
      <w:r>
        <w:rPr>
          <w:rFonts w:ascii="Arial" w:cs="Arial" w:eastAsia="Arial" w:hAnsi="Arial"/>
          <w:sz w:val="19"/>
          <w:szCs w:val="19"/>
          <w:color w:val="auto"/>
        </w:rPr>
        <w:t>“The share repurchase program reflects our deep conviction in the strength of the Company and the prospects for near- and long-term growth,” said Matthew B. Klein, M.D., Chief Executive Officer. “We are investing in PTC at a time when our shares provide a compelling opportunity while still maintaining the financial flexibility to support existing programs and pursue potential value creative business development transactions.”</w:t>
      </w:r>
    </w:p>
    <w:p>
      <w:pPr>
        <w:spacing w:after="0" w:line="185" w:lineRule="exact"/>
        <w:rPr>
          <w:sz w:val="20"/>
          <w:szCs w:val="20"/>
          <w:color w:val="auto"/>
        </w:rPr>
      </w:pPr>
    </w:p>
    <w:p>
      <w:pPr>
        <w:ind w:left="200" w:right="539"/>
        <w:spacing w:after="0" w:line="258" w:lineRule="auto"/>
        <w:rPr>
          <w:sz w:val="20"/>
          <w:szCs w:val="20"/>
          <w:color w:val="auto"/>
        </w:rPr>
      </w:pPr>
      <w:r>
        <w:rPr>
          <w:rFonts w:ascii="Arial" w:cs="Arial" w:eastAsia="Arial" w:hAnsi="Arial"/>
          <w:sz w:val="19"/>
          <w:szCs w:val="19"/>
          <w:color w:val="auto"/>
        </w:rPr>
        <w:t>Under the authorization, share repurchases may be made from time to time at management's discretion through a variety of methods, such as open-market transactions including pre-set trading plans, privately negotiated transactions, accelerated share repurchases, and other transactions in accordance with applicable securities laws.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About PTC Therapeutics, Inc.</w:t>
      </w:r>
    </w:p>
    <w:p>
      <w:pPr>
        <w:spacing w:after="0" w:line="227" w:lineRule="exact"/>
        <w:rPr>
          <w:sz w:val="20"/>
          <w:szCs w:val="20"/>
          <w:color w:val="auto"/>
        </w:rPr>
      </w:pPr>
    </w:p>
    <w:p>
      <w:pPr>
        <w:ind w:left="200" w:right="239"/>
        <w:spacing w:after="0" w:line="252" w:lineRule="auto"/>
        <w:rPr>
          <w:sz w:val="20"/>
          <w:szCs w:val="20"/>
          <w:color w:val="auto"/>
        </w:rPr>
      </w:pPr>
      <w:r>
        <w:rPr>
          <w:rFonts w:ascii="Arial" w:cs="Arial" w:eastAsia="Arial" w:hAnsi="Arial"/>
          <w:sz w:val="19"/>
          <w:szCs w:val="19"/>
          <w:color w:val="auto"/>
        </w:rPr>
        <w:t>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The company's strategy is to leverage its scientific expertise and global commercial infrastructure to optimize value for patients and other stakeholders. To learn more about PTC, please visit www.ptcbio.com and follow on LinkedIn, X, Facebook and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1037590</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9"/>
          <w:szCs w:val="19"/>
          <w:b w:val="1"/>
          <w:bCs w:val="1"/>
          <w:color w:val="auto"/>
        </w:rPr>
        <w:t>For more information please contact:</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Investors:</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Ellen Cavaleri</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 (615) 618-6228</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ecavaleri@ptcbio.com</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Media:</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Jeanine Clemente</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 (908) 912-9406</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jclemente@ptcbio.com</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Forward-Looking Statements</w:t>
      </w:r>
    </w:p>
    <w:p>
      <w:pPr>
        <w:spacing w:after="0" w:line="227" w:lineRule="exact"/>
        <w:rPr>
          <w:sz w:val="20"/>
          <w:szCs w:val="20"/>
          <w:color w:val="auto"/>
        </w:rPr>
      </w:pPr>
    </w:p>
    <w:p>
      <w:pPr>
        <w:ind w:left="200" w:right="279"/>
        <w:spacing w:after="0" w:line="250"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contained in this release, other than statements of historic fact, are forward-looking statements, including statements relating to our share repurchase program, including the timing, amount, and methods of any share repurchases; PTC's strategy, future operations, future financial position, future revenues, projected costs; and the objectives of management. Other forward-looking statements may be identified by the words, "guidance," "plan," "anticipate," "believe," "estimate," "expect," "intend," "may," "target," "potential," "will," "would," "could," "should," "continue," "aim," and similar expressions.</w:t>
      </w:r>
    </w:p>
    <w:p>
      <w:pPr>
        <w:spacing w:after="0" w:line="191" w:lineRule="exact"/>
        <w:rPr>
          <w:sz w:val="20"/>
          <w:szCs w:val="20"/>
          <w:color w:val="auto"/>
        </w:rPr>
      </w:pPr>
    </w:p>
    <w:p>
      <w:pPr>
        <w:ind w:left="200" w:right="239"/>
        <w:spacing w:after="0" w:line="249" w:lineRule="auto"/>
        <w:rPr>
          <w:sz w:val="20"/>
          <w:szCs w:val="20"/>
          <w:color w:val="auto"/>
        </w:rPr>
      </w:pPr>
      <w:r>
        <w:rPr>
          <w:rFonts w:ascii="Arial" w:cs="Arial" w:eastAsia="Arial" w:hAnsi="Arial"/>
          <w:sz w:val="19"/>
          <w:szCs w:val="19"/>
          <w:color w:val="auto"/>
        </w:rPr>
        <w:t>PTC's actual results, performance or achievements could differ materially from those expressed or implied by forward-looking statements it makes as a result of a variety of risks and uncertainties, including those related to: the outcome of pricing, coverage and reimbursement negotiations with third party payors for PTC's products or product candidates that PTC commercializes or may commercialize in the future; expectations with respect to our share repurchase program; significant business effects, including the effects of industry, market, economic, political or regulatory conditions; changes in tax and other laws, regulations, rates and policies; the eligible patient base and commercial potential of PTC's products and product candidates; PTC's scientific approach and general development progress; the sufficiency of PTC's cash resources and its ability to obtain adequate financing in the future for its foreseeable and unforeseeable operating expenses and capital expenditures; and the factors discussed in the "Risk Factors" section of PTC's most recent Annual Report on Form 10-K, as well as any updates to these risk factors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775970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5" w:name="page6"/>
    <w:bookmarkEnd w:id="5"/>
    <w:p>
      <w:pPr>
        <w:ind w:left="200" w:right="759"/>
        <w:spacing w:after="0" w:line="285" w:lineRule="auto"/>
        <w:rPr>
          <w:sz w:val="20"/>
          <w:szCs w:val="20"/>
          <w:color w:val="auto"/>
        </w:rPr>
      </w:pPr>
      <w:r>
        <w:rPr>
          <w:rFonts w:ascii="Arial" w:cs="Arial" w:eastAsia="Arial" w:hAnsi="Arial"/>
          <w:sz w:val="19"/>
          <w:szCs w:val="19"/>
          <w:color w:val="auto"/>
        </w:rPr>
        <w:t>from time to time in PTC's other filings with the SEC. You are urged to carefully consider all such factors.</w:t>
      </w:r>
    </w:p>
    <w:p>
      <w:pPr>
        <w:spacing w:after="0" w:line="156" w:lineRule="exact"/>
        <w:rPr>
          <w:sz w:val="20"/>
          <w:szCs w:val="20"/>
          <w:color w:val="auto"/>
        </w:rPr>
      </w:pPr>
    </w:p>
    <w:p>
      <w:pPr>
        <w:ind w:left="200" w:right="279"/>
        <w:spacing w:after="0" w:line="282" w:lineRule="auto"/>
        <w:rPr>
          <w:sz w:val="20"/>
          <w:szCs w:val="20"/>
          <w:color w:val="auto"/>
        </w:rPr>
      </w:pPr>
      <w:r>
        <w:rPr>
          <w:rFonts w:ascii="Arial" w:cs="Arial" w:eastAsia="Arial" w:hAnsi="Arial"/>
          <w:sz w:val="18"/>
          <w:szCs w:val="18"/>
          <w:color w:val="auto"/>
        </w:rPr>
        <w:t>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w:t>
      </w:r>
    </w:p>
    <w:p>
      <w:pPr>
        <w:spacing w:after="0" w:line="161" w:lineRule="exact"/>
        <w:rPr>
          <w:sz w:val="20"/>
          <w:szCs w:val="20"/>
          <w:color w:val="auto"/>
        </w:rPr>
      </w:pPr>
    </w:p>
    <w:p>
      <w:pPr>
        <w:ind w:left="200" w:right="279"/>
        <w:spacing w:after="0" w:line="253" w:lineRule="auto"/>
        <w:rPr>
          <w:sz w:val="20"/>
          <w:szCs w:val="20"/>
          <w:color w:val="auto"/>
        </w:rPr>
      </w:pPr>
      <w:r>
        <w:rPr>
          <w:rFonts w:ascii="Arial" w:cs="Arial" w:eastAsia="Arial" w:hAnsi="Arial"/>
          <w:sz w:val="19"/>
          <w:szCs w:val="19"/>
          <w:color w:val="auto"/>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614680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7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2026-11-03T08:02:13Z</dcterms:created>
  <dcterms:modified xsi:type="dcterms:W3CDTF">2026-11-03T08:02:13Z</dcterms:modified>
</cp:coreProperties>
</file>