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Boulding Mark Elliott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192</w:t>
            </w:r>
          </w:p>
        </w:tc>
        <w:tc>
          <w:tcPr>
            <w:tcW w:w="1377" w:type="dxa"/>
            <w:tcBorders/>
            <w:vAlign w:val="center"/>
          </w:tcPr>
          <w:p>
            <w:pPr>
              <w:pStyle w:val="TableContents"/>
              <w:bidi w:val="0"/>
              <w:spacing w:before="0" w:after="283"/>
              <w:jc w:val="left"/>
              <w:rPr/>
            </w:pPr>
            <w:r>
              <w:rPr/>
              <w:t>12338.84</w:t>
            </w:r>
          </w:p>
        </w:tc>
        <w:tc>
          <w:tcPr>
            <w:tcW w:w="1552" w:type="dxa"/>
            <w:tcBorders/>
            <w:vAlign w:val="center"/>
          </w:tcPr>
          <w:p>
            <w:pPr>
              <w:pStyle w:val="TableContents"/>
              <w:bidi w:val="0"/>
              <w:spacing w:before="0" w:after="283"/>
              <w:jc w:val="left"/>
              <w:rPr/>
            </w:pPr>
            <w:r>
              <w:rPr/>
              <w:t>83460802</w:t>
            </w:r>
          </w:p>
        </w:tc>
        <w:tc>
          <w:tcPr>
            <w:tcW w:w="1567" w:type="dxa"/>
            <w:tcBorders/>
            <w:vAlign w:val="center"/>
          </w:tcPr>
          <w:p>
            <w:pPr>
              <w:pStyle w:val="TableContents"/>
              <w:bidi w:val="0"/>
              <w:spacing w:before="0" w:after="283"/>
              <w:jc w:val="left"/>
              <w:rPr/>
            </w:pPr>
            <w:r>
              <w:rPr/>
              <w:t>10/09/2026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w:t>
            </w:r>
          </w:p>
        </w:tc>
        <w:tc>
          <w:tcPr>
            <w:tcW w:w="1078" w:type="dxa"/>
            <w:tcBorders/>
            <w:vAlign w:val="center"/>
          </w:tcPr>
          <w:p>
            <w:pPr>
              <w:pStyle w:val="TableContents"/>
              <w:bidi w:val="0"/>
              <w:spacing w:before="0" w:after="283"/>
              <w:jc w:val="left"/>
              <w:rPr/>
            </w:pPr>
            <w:r>
              <w:rPr/>
              <w:t>10/09/2026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2967"/>
        <w:gridCol w:w="948"/>
        <w:gridCol w:w="1566"/>
        <w:gridCol w:w="1767"/>
      </w:tblGrid>
      <w:tr>
        <w:trPr/>
        <w:tc>
          <w:tcPr>
            <w:tcW w:w="2957"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2813</w:t>
            </w:r>
          </w:p>
        </w:tc>
        <w:tc>
          <w:tcPr>
            <w:tcW w:w="1767" w:type="dxa"/>
            <w:tcBorders/>
            <w:vAlign w:val="center"/>
          </w:tcPr>
          <w:p>
            <w:pPr>
              <w:pStyle w:val="TableContents"/>
              <w:bidi w:val="0"/>
              <w:spacing w:before="0" w:after="283"/>
              <w:jc w:val="left"/>
              <w:rPr/>
            </w:pPr>
            <w:r>
              <w:rPr/>
              <w:t>204123.09</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10/05/2026</w:t>
            </w:r>
          </w:p>
        </w:tc>
        <w:tc>
          <w:tcPr>
            <w:tcW w:w="1566" w:type="dxa"/>
            <w:tcBorders/>
            <w:vAlign w:val="center"/>
          </w:tcPr>
          <w:p>
            <w:pPr>
              <w:pStyle w:val="TableContents"/>
              <w:bidi w:val="0"/>
              <w:spacing w:before="0" w:after="283"/>
              <w:jc w:val="left"/>
              <w:rPr/>
            </w:pPr>
            <w:r>
              <w:rPr/>
              <w:t>1638</w:t>
            </w:r>
          </w:p>
        </w:tc>
        <w:tc>
          <w:tcPr>
            <w:tcW w:w="1767" w:type="dxa"/>
            <w:tcBorders/>
            <w:vAlign w:val="center"/>
          </w:tcPr>
          <w:p>
            <w:pPr>
              <w:pStyle w:val="TableContents"/>
              <w:bidi w:val="0"/>
              <w:spacing w:before="0" w:after="283"/>
              <w:jc w:val="left"/>
              <w:rPr/>
            </w:pPr>
            <w:r>
              <w:rPr/>
              <w:t>104883.43</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10/06/2026</w:t>
            </w:r>
          </w:p>
        </w:tc>
        <w:tc>
          <w:tcPr>
            <w:tcW w:w="1566" w:type="dxa"/>
            <w:tcBorders/>
            <w:vAlign w:val="center"/>
          </w:tcPr>
          <w:p>
            <w:pPr>
              <w:pStyle w:val="TableContents"/>
              <w:bidi w:val="0"/>
              <w:spacing w:before="0" w:after="283"/>
              <w:jc w:val="left"/>
              <w:rPr/>
            </w:pPr>
            <w:r>
              <w:rPr/>
              <w:t>435</w:t>
            </w:r>
          </w:p>
        </w:tc>
        <w:tc>
          <w:tcPr>
            <w:tcW w:w="1767" w:type="dxa"/>
            <w:tcBorders/>
            <w:vAlign w:val="center"/>
          </w:tcPr>
          <w:p>
            <w:pPr>
              <w:pStyle w:val="TableContents"/>
              <w:bidi w:val="0"/>
              <w:spacing w:before="0" w:after="283"/>
              <w:jc w:val="left"/>
              <w:rPr/>
            </w:pPr>
            <w:r>
              <w:rPr/>
              <w:t>27907.59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10/09/2026</w:t>
            </w:r>
          </w:p>
        </w:tc>
      </w:tr>
      <w:tr>
        <w:trPr/>
        <w:tc>
          <w:tcPr>
            <w:tcW w:w="3950" w:type="dxa"/>
            <w:tcBorders/>
            <w:vAlign w:val="center"/>
          </w:tcPr>
          <w:p>
            <w:pPr>
              <w:pStyle w:val="TableContents"/>
              <w:bidi w:val="0"/>
              <w:spacing w:before="0" w:after="283"/>
              <w:jc w:val="left"/>
              <w:rPr/>
            </w:pPr>
            <w:r>
              <w:rPr/>
              <w:t>Date of Plan Adoption or Giving of Instruction, If Relying on Rule 10b5-1</w:t>
            </w:r>
          </w:p>
        </w:tc>
        <w:tc>
          <w:tcPr>
            <w:tcW w:w="6255"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/s/Wade Moss, as a duly authorized representative of Fidelity Brokerage Services LLC, as attorney-in-fact for Mark Boulding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3367</Characters>
  <CharactersWithSpaces>3961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