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928370</wp:posOffset>
            </wp:positionH>
            <wp:positionV relativeFrom="page">
              <wp:posOffset>317500</wp:posOffset>
            </wp:positionV>
            <wp:extent cx="56921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92140" cy="22860"/>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374650</wp:posOffset>
            </wp:positionV>
            <wp:extent cx="56921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92140" cy="5715"/>
                    </a:xfrm>
                    <a:prstGeom prst="rect">
                      <a:avLst/>
                    </a:prstGeom>
                    <a:noFill/>
                  </pic:spPr>
                </pic:pic>
              </a:graphicData>
            </a:graphic>
          </wp:anchor>
        </w:drawing>
        <w:t>UNITED STATES</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 xml:space="preserve">Date of Report (Date of earliest event reported): </w:t>
      </w:r>
      <w:r>
        <w:rPr>
          <w:rFonts w:ascii="Times New Roman" w:cs="Times New Roman" w:eastAsia="Times New Roman" w:hAnsi="Times New Roman"/>
          <w:sz w:val="11"/>
          <w:szCs w:val="11"/>
          <w:b w:val="1"/>
          <w:bCs w:val="1"/>
          <w:color w:val="auto"/>
        </w:rPr>
        <w:t>October 29, 2026</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PTC THERAPEUTICS, INC.</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Company as Specified in Charter)</w:t>
      </w:r>
    </w:p>
    <w:p>
      <w:pPr>
        <w:sectPr>
          <w:pgSz w:w="11900" w:h="16838" w:orient="portrait"/>
          <w:cols w:equalWidth="0" w:num="1">
            <w:col w:w="9019"/>
          </w:cols>
          <w:pgMar w:left="1440" w:top="634" w:right="1440" w:bottom="1440" w:gutter="0" w:footer="0" w:header="0"/>
        </w:sectPr>
      </w:pPr>
    </w:p>
    <w:p>
      <w:pPr>
        <w:spacing w:after="0" w:line="151" w:lineRule="exact"/>
        <w:rPr>
          <w:sz w:val="24"/>
          <w:szCs w:val="24"/>
          <w:color w:val="auto"/>
        </w:rPr>
      </w:pPr>
    </w:p>
    <w:p>
      <w:pPr>
        <w:ind w:left="1200"/>
        <w:spacing w:after="0"/>
        <w:tabs>
          <w:tab w:leader="none" w:pos="2900" w:val="left"/>
        </w:tabs>
        <w:rPr>
          <w:sz w:val="20"/>
          <w:szCs w:val="20"/>
          <w:color w:val="auto"/>
        </w:rPr>
      </w:pPr>
      <w:r>
        <w:rPr>
          <w:rFonts w:ascii="Times New Roman" w:cs="Times New Roman" w:eastAsia="Times New Roman" w:hAnsi="Times New Roman"/>
          <w:sz w:val="11"/>
          <w:szCs w:val="11"/>
          <w:b w:val="1"/>
          <w:bCs w:val="1"/>
          <w:color w:val="auto"/>
        </w:rPr>
        <w:t>Delaware</w:t>
      </w:r>
      <w:r>
        <w:rPr>
          <w:sz w:val="20"/>
          <w:szCs w:val="20"/>
          <w:color w:val="auto"/>
        </w:rPr>
        <w:tab/>
      </w:r>
      <w:r>
        <w:rPr>
          <w:rFonts w:ascii="Times New Roman" w:cs="Times New Roman" w:eastAsia="Times New Roman" w:hAnsi="Times New Roman"/>
          <w:sz w:val="11"/>
          <w:szCs w:val="11"/>
          <w:color w:val="auto"/>
        </w:rPr>
        <w:t>​​​</w:t>
      </w:r>
    </w:p>
    <w:p>
      <w:pPr>
        <w:spacing w:after="0" w:line="1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1"/>
          <w:szCs w:val="11"/>
          <w:color w:val="auto"/>
        </w:rPr>
        <w:t>of Incorporation)</w:t>
      </w:r>
    </w:p>
    <w:p>
      <w:pPr>
        <w:spacing w:after="0" w:line="154"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0"/>
          <w:szCs w:val="10"/>
          <w:b w:val="1"/>
          <w:bCs w:val="1"/>
          <w:color w:val="auto"/>
        </w:rPr>
        <w:t>500 Warren Corporate Center Drive</w:t>
      </w:r>
    </w:p>
    <w:p>
      <w:pPr>
        <w:spacing w:after="0" w:line="2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1"/>
          <w:szCs w:val="11"/>
          <w:b w:val="1"/>
          <w:bCs w:val="1"/>
          <w:color w:val="auto"/>
        </w:rPr>
        <w:t>Warren, NJ</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001-35969</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(Commission</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File Number)</w:t>
      </w:r>
    </w:p>
    <w:p>
      <w:pPr>
        <w:spacing w:after="0" w:line="168"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07059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(Zip Code)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04-3416587</w:t>
      </w:r>
    </w:p>
    <w:p>
      <w:pPr>
        <w:spacing w:after="0" w:line="16"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1"/>
          <w:szCs w:val="11"/>
          <w:color w:val="auto"/>
        </w:rPr>
        <w:t>(IRS Employer</w:t>
      </w:r>
    </w:p>
    <w:p>
      <w:pPr>
        <w:spacing w:after="0" w:line="9" w:lineRule="exact"/>
        <w:rPr>
          <w:sz w:val="24"/>
          <w:szCs w:val="24"/>
          <w:color w:val="auto"/>
        </w:rPr>
      </w:pPr>
    </w:p>
    <w:p>
      <w:pPr>
        <w:jc w:val="center"/>
        <w:ind w:right="1079"/>
        <w:spacing w:after="0"/>
        <w:rPr>
          <w:sz w:val="20"/>
          <w:szCs w:val="20"/>
          <w:color w:val="auto"/>
        </w:rPr>
      </w:pPr>
      <w:r>
        <w:rPr>
          <w:rFonts w:ascii="Times New Roman" w:cs="Times New Roman" w:eastAsia="Times New Roman" w:hAnsi="Times New Roman"/>
          <w:sz w:val="10"/>
          <w:szCs w:val="10"/>
          <w:color w:val="auto"/>
        </w:rPr>
        <w:t>Identification No.)</w:t>
      </w:r>
    </w:p>
    <w:p>
      <w:pPr>
        <w:spacing w:after="0" w:line="706" w:lineRule="exact"/>
        <w:rPr>
          <w:sz w:val="24"/>
          <w:szCs w:val="24"/>
          <w:color w:val="auto"/>
        </w:rPr>
      </w:pPr>
    </w:p>
    <w:p>
      <w:pPr>
        <w:sectPr>
          <w:pgSz w:w="11900" w:h="16838" w:orient="portrait"/>
          <w:cols w:equalWidth="0" w:num="5">
            <w:col w:w="3460" w:space="720"/>
            <w:col w:w="1080" w:space="720"/>
            <w:col w:w="80" w:space="140"/>
            <w:col w:w="460" w:space="480"/>
            <w:col w:w="1879"/>
          </w:cols>
          <w:pgMar w:left="1440" w:top="634"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(908) 222-7000</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13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0"/>
          <w:szCs w:val="1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0"/>
          <w:szCs w:val="10"/>
          <w:i w:val="1"/>
          <w:iCs w:val="1"/>
          <w:color w:val="auto"/>
        </w:rPr>
        <w:t>see</w:t>
      </w:r>
      <w:r>
        <w:rPr>
          <w:rFonts w:ascii="Times New Roman" w:cs="Times New Roman" w:eastAsia="Times New Roman" w:hAnsi="Times New Roman"/>
          <w:sz w:val="10"/>
          <w:szCs w:val="10"/>
          <w:color w:val="auto"/>
        </w:rPr>
        <w:t xml:space="preserve"> General Instruction A.2.</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below):</w:t>
      </w:r>
    </w:p>
    <w:p>
      <w:pPr>
        <w:spacing w:after="0" w:line="138" w:lineRule="exact"/>
        <w:rPr>
          <w:sz w:val="24"/>
          <w:szCs w:val="24"/>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43" w:lineRule="exact"/>
        <w:rPr>
          <w:rFonts w:ascii="MS PGothic" w:cs="MS PGothic" w:eastAsia="MS PGothic" w:hAnsi="MS PGothic"/>
          <w:sz w:val="11"/>
          <w:szCs w:val="11"/>
          <w:color w:val="auto"/>
        </w:rPr>
      </w:pPr>
    </w:p>
    <w:p>
      <w:pPr>
        <w:ind w:left="720" w:hanging="266"/>
        <w:spacing w:after="0"/>
        <w:tabs>
          <w:tab w:leader="none" w:pos="7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142"/>
        </w:trPr>
        <w:tc>
          <w:tcPr>
            <w:tcW w:w="3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0" w:type="dxa"/>
            <w:vAlign w:val="bottom"/>
          </w:tcPr>
          <w:p>
            <w:pPr>
              <w:spacing w:after="0"/>
              <w:rPr>
                <w:sz w:val="12"/>
                <w:szCs w:val="12"/>
                <w:color w:val="auto"/>
              </w:rPr>
            </w:pPr>
          </w:p>
        </w:tc>
      </w:tr>
      <w:tr>
        <w:trPr>
          <w:trHeight w:val="279"/>
        </w:trPr>
        <w:tc>
          <w:tcPr>
            <w:tcW w:w="20" w:type="dxa"/>
            <w:vAlign w:val="bottom"/>
          </w:tcPr>
          <w:p>
            <w:pPr>
              <w:spacing w:after="0"/>
              <w:rPr>
                <w:sz w:val="24"/>
                <w:szCs w:val="24"/>
                <w:color w:val="auto"/>
              </w:rPr>
            </w:pPr>
          </w:p>
        </w:tc>
        <w:tc>
          <w:tcPr>
            <w:tcW w:w="34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3"/>
        </w:trPr>
        <w:tc>
          <w:tcPr>
            <w:tcW w:w="20" w:type="dxa"/>
            <w:vAlign w:val="bottom"/>
          </w:tcPr>
          <w:p>
            <w:pPr>
              <w:spacing w:after="0"/>
              <w:rPr>
                <w:sz w:val="11"/>
                <w:szCs w:val="11"/>
                <w:color w:val="auto"/>
              </w:rPr>
            </w:pPr>
          </w:p>
        </w:tc>
        <w:tc>
          <w:tcPr>
            <w:tcW w:w="3400" w:type="dxa"/>
            <w:vAlign w:val="bottom"/>
          </w:tcPr>
          <w:p>
            <w:pPr>
              <w:ind w:left="700"/>
              <w:spacing w:after="0"/>
              <w:rPr>
                <w:sz w:val="20"/>
                <w:szCs w:val="20"/>
                <w:color w:val="auto"/>
              </w:rPr>
            </w:pPr>
            <w:r>
              <w:rPr>
                <w:rFonts w:ascii="Times New Roman" w:cs="Times New Roman" w:eastAsia="Times New Roman" w:hAnsi="Times New Roman"/>
                <w:sz w:val="11"/>
                <w:szCs w:val="11"/>
                <w:color w:val="auto"/>
              </w:rPr>
              <w:t>Common Stock, $0.001 par value per share</w:t>
            </w:r>
          </w:p>
        </w:tc>
        <w:tc>
          <w:tcPr>
            <w:tcW w:w="180" w:type="dxa"/>
            <w:vAlign w:val="bottom"/>
          </w:tcPr>
          <w:p>
            <w:pPr>
              <w:spacing w:after="0"/>
              <w:rPr>
                <w:sz w:val="11"/>
                <w:szCs w:val="1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PTCT</w:t>
            </w:r>
          </w:p>
        </w:tc>
        <w:tc>
          <w:tcPr>
            <w:tcW w:w="180" w:type="dxa"/>
            <w:vAlign w:val="bottom"/>
          </w:tcPr>
          <w:p>
            <w:pPr>
              <w:spacing w:after="0"/>
              <w:rPr>
                <w:sz w:val="11"/>
                <w:szCs w:val="1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Nasdaq Global Select Market</w:t>
            </w:r>
          </w:p>
        </w:tc>
      </w:tr>
    </w:tbl>
    <w:p>
      <w:pPr>
        <w:spacing w:after="0" w:line="121" w:lineRule="exact"/>
        <w:rPr>
          <w:sz w:val="24"/>
          <w:szCs w:val="24"/>
          <w:color w:val="auto"/>
        </w:rPr>
      </w:pPr>
    </w:p>
    <w:p>
      <w:pPr>
        <w:ind w:left="20" w:right="79"/>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8" w:lineRule="exact"/>
        <w:rPr>
          <w:sz w:val="24"/>
          <w:szCs w:val="24"/>
          <w:color w:val="auto"/>
        </w:rPr>
      </w:pPr>
    </w:p>
    <w:p>
      <w:pPr>
        <w:ind w:left="20" w:right="139"/>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415290</wp:posOffset>
            </wp:positionV>
            <wp:extent cx="5692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2140"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32385</wp:posOffset>
            </wp:positionV>
            <wp:extent cx="56921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2140" cy="57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72390</wp:posOffset>
            </wp:positionV>
            <wp:extent cx="56921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22860"/>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Item 2.02. </w:t>
      </w:r>
      <w:r>
        <w:rPr>
          <w:rFonts w:ascii="Times New Roman" w:cs="Times New Roman" w:eastAsia="Times New Roman" w:hAnsi="Times New Roman"/>
          <w:sz w:val="12"/>
          <w:szCs w:val="12"/>
          <w:b w:val="1"/>
          <w:bCs w:val="1"/>
          <w:color w:val="212529"/>
        </w:rPr>
        <w:t>Results of Operations and Financial Condition.</w:t>
      </w:r>
    </w:p>
    <w:p>
      <w:pPr>
        <w:spacing w:after="0" w:line="127" w:lineRule="exact"/>
        <w:rPr>
          <w:sz w:val="20"/>
          <w:szCs w:val="20"/>
          <w:color w:val="auto"/>
        </w:rPr>
      </w:pPr>
    </w:p>
    <w:p>
      <w:pPr>
        <w:ind w:left="20" w:right="399"/>
        <w:spacing w:after="0" w:line="279" w:lineRule="auto"/>
        <w:rPr>
          <w:sz w:val="20"/>
          <w:szCs w:val="20"/>
          <w:color w:val="auto"/>
        </w:rPr>
      </w:pPr>
      <w:r>
        <w:rPr>
          <w:rFonts w:ascii="Times New Roman" w:cs="Times New Roman" w:eastAsia="Times New Roman" w:hAnsi="Times New Roman"/>
          <w:sz w:val="12"/>
          <w:szCs w:val="12"/>
          <w:color w:val="212529"/>
        </w:rPr>
        <w:t>On October 29, 2026, PTC Therapeutics, Inc. (the “Company”) announced its financial results for the quarter ended September 30, 2026. The full text of the press release issued in connection with the announcement is furnished as Exhibit 99.1 to this Current Report on Form 8-K (this “Report”) and is incorporated by reference into this Item 2.02.</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27" w:lineRule="exact"/>
        <w:rPr>
          <w:sz w:val="20"/>
          <w:szCs w:val="20"/>
          <w:color w:val="auto"/>
        </w:rPr>
      </w:pPr>
    </w:p>
    <w:p>
      <w:pPr>
        <w:ind w:left="20" w:right="59"/>
        <w:spacing w:after="0" w:line="265" w:lineRule="auto"/>
        <w:rPr>
          <w:sz w:val="20"/>
          <w:szCs w:val="20"/>
          <w:color w:val="auto"/>
        </w:rPr>
      </w:pPr>
      <w:r>
        <w:rPr>
          <w:rFonts w:ascii="Times New Roman" w:cs="Times New Roman" w:eastAsia="Times New Roman" w:hAnsi="Times New Roman"/>
          <w:sz w:val="12"/>
          <w:szCs w:val="12"/>
          <w:color w:val="212529"/>
        </w:rPr>
        <w:t>The Company will host a conference call on October 29, 2026 at 4:30 p.m. eastern time, as previously announced. During this call the Company expects to review financial results for the quarter ended September 30, 2026, as well as other corporate highlights and updates. Instructions on how to access the conference call are included in the press release furnished as Exhibit 99.1 hereto.</w:t>
      </w:r>
    </w:p>
    <w:p>
      <w:pPr>
        <w:spacing w:after="0" w:line="92" w:lineRule="exact"/>
        <w:rPr>
          <w:sz w:val="20"/>
          <w:szCs w:val="20"/>
          <w:color w:val="auto"/>
        </w:rPr>
      </w:pPr>
    </w:p>
    <w:p>
      <w:pPr>
        <w:ind w:left="20" w:right="239"/>
        <w:spacing w:after="0" w:line="327" w:lineRule="auto"/>
        <w:rPr>
          <w:sz w:val="20"/>
          <w:szCs w:val="20"/>
          <w:color w:val="auto"/>
        </w:rPr>
      </w:pPr>
      <w:r>
        <w:rPr>
          <w:rFonts w:ascii="Times New Roman" w:cs="Times New Roman" w:eastAsia="Times New Roman" w:hAnsi="Times New Roman"/>
          <w:sz w:val="11"/>
          <w:szCs w:val="11"/>
          <w:color w:val="auto"/>
        </w:rPr>
        <w:t>The Company has also updated its corporate presentation as of October 29, 2026. The Company’s corporate presentation will be posted in the Events and Presentations page under the Investors section of the Company’s website. A copy of the corporate presentation is also attached to this Report as Exhibit 99.2 and is incorporated by reference into this Item 7.01.</w:t>
      </w:r>
    </w:p>
    <w:p>
      <w:pPr>
        <w:spacing w:after="0" w:line="69" w:lineRule="exact"/>
        <w:rPr>
          <w:sz w:val="20"/>
          <w:szCs w:val="20"/>
          <w:color w:val="auto"/>
        </w:rPr>
      </w:pPr>
    </w:p>
    <w:p>
      <w:pPr>
        <w:ind w:left="20" w:right="99"/>
        <w:spacing w:after="0" w:line="260" w:lineRule="auto"/>
        <w:rPr>
          <w:sz w:val="20"/>
          <w:szCs w:val="20"/>
          <w:color w:val="auto"/>
        </w:rPr>
      </w:pPr>
      <w:r>
        <w:rPr>
          <w:rFonts w:ascii="Times New Roman" w:cs="Times New Roman" w:eastAsia="Times New Roman" w:hAnsi="Times New Roman"/>
          <w:sz w:val="12"/>
          <w:szCs w:val="12"/>
          <w:color w:val="212529"/>
        </w:rPr>
        <w:t>The information in this Report (including Items 2.02 and 7.01 and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All website addresses given in this Report or incorporated herein by reference are for information only and are not intended to be an active link or to incorporate any website information into this Report.</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0" w:type="dxa"/>
            <w:vAlign w:val="bottom"/>
          </w:tcPr>
          <w:p>
            <w:pPr>
              <w:spacing w:after="0"/>
              <w:rPr>
                <w:sz w:val="13"/>
                <w:szCs w:val="13"/>
                <w:color w:val="auto"/>
              </w:rPr>
            </w:pPr>
          </w:p>
        </w:tc>
      </w:tr>
      <w:tr>
        <w:trPr>
          <w:trHeight w:val="279"/>
        </w:trPr>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6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Description</w:t>
            </w:r>
          </w:p>
        </w:tc>
      </w:tr>
      <w:tr>
        <w:trPr>
          <w:trHeight w:val="106"/>
        </w:trPr>
        <w:tc>
          <w:tcPr>
            <w:tcW w:w="20" w:type="dxa"/>
            <w:vAlign w:val="bottom"/>
          </w:tcPr>
          <w:p>
            <w:pPr>
              <w:spacing w:after="0"/>
              <w:rPr>
                <w:sz w:val="9"/>
                <w:szCs w:val="9"/>
                <w:color w:val="auto"/>
              </w:rPr>
            </w:pPr>
          </w:p>
        </w:tc>
        <w:tc>
          <w:tcPr>
            <w:tcW w:w="130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color w:val="auto"/>
                <w:w w:val="95"/>
              </w:rPr>
              <w:t>99.1</w:t>
            </w:r>
          </w:p>
        </w:tc>
        <w:tc>
          <w:tcPr>
            <w:tcW w:w="180" w:type="dxa"/>
            <w:vAlign w:val="bottom"/>
          </w:tcPr>
          <w:p>
            <w:pPr>
              <w:spacing w:after="0"/>
              <w:rPr>
                <w:sz w:val="9"/>
                <w:szCs w:val="9"/>
                <w:color w:val="auto"/>
              </w:rPr>
            </w:pPr>
          </w:p>
        </w:tc>
        <w:tc>
          <w:tcPr>
            <w:tcW w:w="746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Press Release, dated October 29, 2026 issued by PTC Therapeutics, Inc.</w:t>
            </w:r>
          </w:p>
        </w:tc>
      </w:tr>
      <w:tr>
        <w:trPr>
          <w:trHeight w:val="124"/>
        </w:trPr>
        <w:tc>
          <w:tcPr>
            <w:tcW w:w="13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2"/>
                <w:szCs w:val="12"/>
                <w:color w:val="auto"/>
                <w:w w:val="95"/>
              </w:rPr>
              <w:t>99.2</w:t>
            </w:r>
          </w:p>
        </w:tc>
        <w:tc>
          <w:tcPr>
            <w:tcW w:w="180" w:type="dxa"/>
            <w:vAlign w:val="bottom"/>
          </w:tcPr>
          <w:p>
            <w:pPr>
              <w:spacing w:after="0"/>
              <w:rPr>
                <w:sz w:val="10"/>
                <w:szCs w:val="10"/>
                <w:color w:val="auto"/>
              </w:rPr>
            </w:pPr>
          </w:p>
        </w:tc>
        <w:tc>
          <w:tcPr>
            <w:tcW w:w="3460" w:type="dxa"/>
            <w:vAlign w:val="bottom"/>
            <w:tcBorders>
              <w:top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Corporate Presentation – October 2026</w:t>
            </w:r>
          </w:p>
        </w:tc>
        <w:tc>
          <w:tcPr>
            <w:tcW w:w="4000" w:type="dxa"/>
            <w:vAlign w:val="bottom"/>
          </w:tcPr>
          <w:p>
            <w:pPr>
              <w:spacing w:after="0"/>
              <w:rPr>
                <w:sz w:val="10"/>
                <w:szCs w:val="10"/>
                <w:color w:val="auto"/>
              </w:rPr>
            </w:pPr>
          </w:p>
        </w:tc>
      </w:tr>
      <w:tr>
        <w:trPr>
          <w:trHeight w:val="20"/>
        </w:trPr>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r>
      <w:tr>
        <w:trPr>
          <w:trHeight w:val="151"/>
        </w:trPr>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180" w:type="dxa"/>
            <w:vAlign w:val="bottom"/>
          </w:tcPr>
          <w:p>
            <w:pPr>
              <w:spacing w:after="0"/>
              <w:rPr>
                <w:sz w:val="13"/>
                <w:szCs w:val="13"/>
                <w:color w:val="auto"/>
              </w:rPr>
            </w:pPr>
          </w:p>
        </w:tc>
        <w:tc>
          <w:tcPr>
            <w:tcW w:w="74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r>
        <w:trPr>
          <w:trHeight w:val="772"/>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800" w:type="dxa"/>
            <w:vAlign w:val="bottom"/>
          </w:tcPr>
          <w:p>
            <w:pPr>
              <w:spacing w:after="0"/>
              <w:rPr>
                <w:sz w:val="13"/>
                <w:szCs w:val="13"/>
                <w:color w:val="auto"/>
              </w:rPr>
            </w:pPr>
          </w:p>
        </w:tc>
        <w:tc>
          <w:tcPr>
            <w:tcW w:w="6160" w:type="dxa"/>
            <w:vAlign w:val="bottom"/>
            <w:gridSpan w:val="2"/>
          </w:tcPr>
          <w:p>
            <w:pPr>
              <w:ind w:left="1680"/>
              <w:spacing w:after="0"/>
              <w:rPr>
                <w:sz w:val="20"/>
                <w:szCs w:val="20"/>
                <w:color w:val="auto"/>
              </w:rPr>
            </w:pPr>
            <w:r>
              <w:rPr>
                <w:rFonts w:ascii="Times New Roman" w:cs="Times New Roman" w:eastAsia="Times New Roman" w:hAnsi="Times New Roman"/>
                <w:sz w:val="12"/>
                <w:szCs w:val="12"/>
                <w:b w:val="1"/>
                <w:bCs w:val="1"/>
                <w:color w:val="auto"/>
              </w:rPr>
              <w:t>PTC Therapeutics, Inc.</w:t>
            </w:r>
          </w:p>
        </w:tc>
      </w:tr>
      <w:tr>
        <w:trPr>
          <w:trHeight w:val="288"/>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29, 2026</w:t>
            </w:r>
          </w:p>
        </w:tc>
        <w:tc>
          <w:tcPr>
            <w:tcW w:w="218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Pierre Gravier</w:t>
            </w:r>
          </w:p>
        </w:tc>
      </w:tr>
      <w:tr>
        <w:trPr>
          <w:trHeight w:val="122"/>
        </w:trPr>
        <w:tc>
          <w:tcPr>
            <w:tcW w:w="2800" w:type="dxa"/>
            <w:vAlign w:val="bottom"/>
          </w:tcPr>
          <w:p>
            <w:pPr>
              <w:spacing w:after="0"/>
              <w:rPr>
                <w:sz w:val="10"/>
                <w:szCs w:val="10"/>
                <w:color w:val="auto"/>
              </w:rPr>
            </w:pPr>
          </w:p>
        </w:tc>
        <w:tc>
          <w:tcPr>
            <w:tcW w:w="2180" w:type="dxa"/>
            <w:vAlign w:val="bottom"/>
          </w:tcPr>
          <w:p>
            <w:pPr>
              <w:ind w:left="16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39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Pierre Gravier</w:t>
            </w:r>
          </w:p>
        </w:tc>
      </w:tr>
      <w:tr>
        <w:trPr>
          <w:trHeight w:val="155"/>
        </w:trPr>
        <w:tc>
          <w:tcPr>
            <w:tcW w:w="2800" w:type="dxa"/>
            <w:vAlign w:val="bottom"/>
          </w:tcPr>
          <w:p>
            <w:pPr>
              <w:spacing w:after="0"/>
              <w:rPr>
                <w:sz w:val="13"/>
                <w:szCs w:val="13"/>
                <w:color w:val="auto"/>
              </w:rPr>
            </w:pPr>
          </w:p>
        </w:tc>
        <w:tc>
          <w:tcPr>
            <w:tcW w:w="218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511"/>
        </w:trPr>
        <w:tc>
          <w:tcPr>
            <w:tcW w:w="2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4" w:right="1440" w:bottom="1440" w:gutter="0" w:footer="0" w:header="0"/>
        </w:sectPr>
      </w:pPr>
    </w:p>
    <w:bookmarkStart w:id="3" w:name="page4"/>
    <w:bookmarkEnd w:id="3"/>
    <w:p>
      <w:pPr>
        <w:jc w:val="right"/>
        <w:ind w:right="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928370</wp:posOffset>
            </wp:positionH>
            <wp:positionV relativeFrom="page">
              <wp:posOffset>88900</wp:posOffset>
            </wp:positionV>
            <wp:extent cx="640080" cy="388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40080" cy="388620"/>
                    </a:xfrm>
                    <a:prstGeom prst="rect">
                      <a:avLst/>
                    </a:prstGeom>
                    <a:noFill/>
                  </pic:spPr>
                </pic:pic>
              </a:graphicData>
            </a:graphic>
          </wp:anchor>
        </w:drawing>
        <w:t>Exhibit 99.1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PTC Therapeutics Provides Corporate Update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and Reports Third Quarter 2026 Financial Results</w:t>
      </w:r>
    </w:p>
    <w:p>
      <w:pPr>
        <w:spacing w:after="0" w:line="122" w:lineRule="exact"/>
        <w:rPr>
          <w:sz w:val="20"/>
          <w:szCs w:val="20"/>
          <w:color w:val="auto"/>
        </w:rPr>
      </w:pPr>
    </w:p>
    <w:p>
      <w:pPr>
        <w:jc w:val="center"/>
        <w:ind w:left="20" w:right="39"/>
        <w:spacing w:after="0" w:line="468" w:lineRule="auto"/>
        <w:rPr>
          <w:sz w:val="20"/>
          <w:szCs w:val="20"/>
          <w:color w:val="auto"/>
        </w:rPr>
      </w:pPr>
      <w:r>
        <w:rPr>
          <w:rFonts w:ascii="Arial" w:cs="Arial" w:eastAsia="Arial" w:hAnsi="Arial"/>
          <w:sz w:val="12"/>
          <w:szCs w:val="12"/>
          <w:i w:val="1"/>
          <w:iCs w:val="1"/>
          <w:color w:val="auto"/>
        </w:rPr>
        <w:t>– Strong Q3 2026 performance with total revenue of $358 million, including $276 million of product revenue – – Full-year 2026 expected total revenue increased to $1.29 to $1.32 billion, with full-year product revenue guidance raised to $960 to $990 million – – Sephience™ (sepiapterin) Q3 2026 revenue of $182 million, with continued growth in the US and ongoing global expansion – – Acquired ST-920 Fabry disease gene therapy; BLA submission expected to be completed in Q4 2026 –</w:t>
      </w:r>
    </w:p>
    <w:p>
      <w:pPr>
        <w:spacing w:after="0" w:line="2" w:lineRule="exact"/>
        <w:rPr>
          <w:sz w:val="20"/>
          <w:szCs w:val="20"/>
          <w:color w:val="auto"/>
        </w:rPr>
      </w:pPr>
    </w:p>
    <w:p>
      <w:pPr>
        <w:ind w:left="20" w:right="259"/>
        <w:spacing w:after="0" w:line="270" w:lineRule="auto"/>
        <w:rPr>
          <w:sz w:val="20"/>
          <w:szCs w:val="20"/>
          <w:color w:val="auto"/>
        </w:rPr>
      </w:pPr>
      <w:r>
        <w:rPr>
          <w:rFonts w:ascii="Arial" w:cs="Arial" w:eastAsia="Arial" w:hAnsi="Arial"/>
          <w:sz w:val="12"/>
          <w:szCs w:val="12"/>
          <w:b w:val="1"/>
          <w:bCs w:val="1"/>
          <w:color w:val="auto"/>
        </w:rPr>
        <w:t xml:space="preserve">WARREN, N.J., October 29, 2026 </w:t>
      </w:r>
      <w:r>
        <w:rPr>
          <w:rFonts w:ascii="Arial" w:cs="Arial" w:eastAsia="Arial" w:hAnsi="Arial"/>
          <w:sz w:val="12"/>
          <w:szCs w:val="12"/>
          <w:color w:val="auto"/>
        </w:rPr>
        <w:t>– PTC Therapeutics, Inc., (NASDAQ: PTCT) today announced a corporate update and financial results for the third quarter ended</w:t>
      </w:r>
      <w:r>
        <w:rPr>
          <w:rFonts w:ascii="Arial" w:cs="Arial" w:eastAsia="Arial" w:hAnsi="Arial"/>
          <w:sz w:val="12"/>
          <w:szCs w:val="12"/>
          <w:b w:val="1"/>
          <w:bCs w:val="1"/>
          <w:color w:val="auto"/>
        </w:rPr>
        <w:t xml:space="preserve"> </w:t>
      </w:r>
      <w:r>
        <w:rPr>
          <w:rFonts w:ascii="Arial" w:cs="Arial" w:eastAsia="Arial" w:hAnsi="Arial"/>
          <w:sz w:val="12"/>
          <w:szCs w:val="12"/>
          <w:color w:val="auto"/>
        </w:rPr>
        <w:t>September 30, 2026.</w:t>
      </w:r>
    </w:p>
    <w:p>
      <w:pPr>
        <w:spacing w:after="0" w:line="95" w:lineRule="exact"/>
        <w:rPr>
          <w:sz w:val="20"/>
          <w:szCs w:val="20"/>
          <w:color w:val="auto"/>
        </w:rPr>
      </w:pPr>
    </w:p>
    <w:p>
      <w:pPr>
        <w:ind w:left="20" w:right="119"/>
        <w:spacing w:after="0" w:line="246" w:lineRule="auto"/>
        <w:rPr>
          <w:sz w:val="20"/>
          <w:szCs w:val="20"/>
          <w:color w:val="auto"/>
        </w:rPr>
      </w:pPr>
      <w:r>
        <w:rPr>
          <w:rFonts w:ascii="Arial" w:cs="Arial" w:eastAsia="Arial" w:hAnsi="Arial"/>
          <w:sz w:val="12"/>
          <w:szCs w:val="12"/>
          <w:color w:val="auto"/>
        </w:rPr>
        <w:t>"We delivered another strong quarter of record product revenue led by the continued momentum of the Sephience launch, putting us firmly on track to achieve our cash flow breakeven milestone this year," said Matthew B. Klein, M.D., Chief Executive Officer. "Now at the one-year mark, the launch has been a success by all measures. With a strong patient base, the large global market, and the reports of meaningful treatment benefits, we look forward to continued growth both in the US and internationally.”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Key Corporate Updates</w:t>
      </w:r>
    </w:p>
    <w:p>
      <w:pPr>
        <w:spacing w:after="0" w:line="6" w:lineRule="exact"/>
        <w:rPr>
          <w:sz w:val="20"/>
          <w:szCs w:val="20"/>
          <w:color w:val="auto"/>
        </w:rPr>
      </w:pPr>
    </w:p>
    <w:p>
      <w:pPr>
        <w:ind w:left="240" w:hanging="218"/>
        <w:spacing w:after="0"/>
        <w:tabs>
          <w:tab w:leader="none" w:pos="240"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Q3 2026 total revenue of $358 million, including $276 million of product revenue</w:t>
      </w:r>
    </w:p>
    <w:p>
      <w:pPr>
        <w:spacing w:after="0" w:line="9" w:lineRule="exact"/>
        <w:rPr>
          <w:rFonts w:ascii="Arial" w:cs="Arial" w:eastAsia="Arial" w:hAnsi="Arial"/>
          <w:sz w:val="12"/>
          <w:szCs w:val="12"/>
          <w:b w:val="1"/>
          <w:bCs w:val="1"/>
          <w:color w:val="auto"/>
        </w:rPr>
      </w:pPr>
    </w:p>
    <w:p>
      <w:pPr>
        <w:ind w:left="240" w:hanging="218"/>
        <w:spacing w:after="0"/>
        <w:tabs>
          <w:tab w:leader="none" w:pos="240"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Sephience launch momentum continues with steady growth in the US and ongoing global expansion</w:t>
      </w:r>
    </w:p>
    <w:p>
      <w:pPr>
        <w:spacing w:after="0" w:line="6" w:lineRule="exact"/>
        <w:rPr>
          <w:rFonts w:ascii="Arial" w:cs="Arial" w:eastAsia="Arial" w:hAnsi="Arial"/>
          <w:sz w:val="12"/>
          <w:szCs w:val="12"/>
          <w:b w:val="1"/>
          <w:bCs w:val="1"/>
          <w:color w:val="auto"/>
        </w:rPr>
      </w:pPr>
    </w:p>
    <w:p>
      <w:pPr>
        <w:ind w:left="240" w:right="1439"/>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o Q3 2026 revenue of $182 million, including $145 million revenue in the US and $37 million revenue ex-US, up over 20% from Q2 2026 o Over 2,000 active patients worldwide as of September 30, 2026</w:t>
      </w:r>
    </w:p>
    <w:p>
      <w:pPr>
        <w:ind w:left="240" w:hanging="218"/>
        <w:spacing w:after="0"/>
        <w:tabs>
          <w:tab w:leader="none" w:pos="240"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ST-920 Fabry disease BLA submission expected to be completed in Q4 2026</w:t>
      </w:r>
    </w:p>
    <w:p>
      <w:pPr>
        <w:spacing w:after="0" w:line="6" w:lineRule="exact"/>
        <w:rPr>
          <w:rFonts w:ascii="Arial" w:cs="Arial" w:eastAsia="Arial" w:hAnsi="Arial"/>
          <w:sz w:val="12"/>
          <w:szCs w:val="12"/>
          <w:b w:val="1"/>
          <w:bCs w:val="1"/>
          <w:color w:val="auto"/>
        </w:rPr>
      </w:pPr>
    </w:p>
    <w:p>
      <w:pPr>
        <w:ind w:left="240" w:right="819"/>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o ST-920 is a one-time administered AAV gene therapy with the potential to reduce the burden associated with chronic enzyme replacement therapy o Potential FDA accelerated approval and commercial launch in 2027</w:t>
      </w:r>
    </w:p>
    <w:p>
      <w:pPr>
        <w:ind w:left="240" w:hanging="218"/>
        <w:spacing w:after="0"/>
        <w:tabs>
          <w:tab w:leader="none" w:pos="240"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Votoplam Huntington’s disease program continues to advance</w:t>
      </w:r>
    </w:p>
    <w:p>
      <w:pPr>
        <w:spacing w:after="0" w:line="6" w:lineRule="exact"/>
        <w:rPr>
          <w:rFonts w:ascii="Arial" w:cs="Arial" w:eastAsia="Arial" w:hAnsi="Arial"/>
          <w:sz w:val="12"/>
          <w:szCs w:val="12"/>
          <w:b w:val="1"/>
          <w:bCs w:val="1"/>
          <w:color w:val="auto"/>
        </w:rPr>
      </w:pPr>
    </w:p>
    <w:p>
      <w:pPr>
        <w:ind w:left="240" w:right="959"/>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o Due to FDA scheduling, Type C meeting to discuss votoplam Phase 2 data and potential accelerated approval path now scheduled for Q1 2027 o Global Phase 3 INVEST-HD study actively enrolling at sites worldwide with target enrollment of approximately 770 early symptomatic patients</w:t>
      </w:r>
    </w:p>
    <w:p>
      <w:pPr>
        <w:ind w:left="240" w:right="2679" w:hanging="218"/>
        <w:spacing w:after="0" w:line="242" w:lineRule="auto"/>
        <w:tabs>
          <w:tab w:leader="none" w:pos="240"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Vatiquinone PROVE-FA study to support NDA resubmission for treatment of Friedreich’s ataxia initiated in Q3 2026 o Global study will enroll approximately 120 patients ages 7 to 21</w:t>
      </w:r>
    </w:p>
    <w:p>
      <w:pPr>
        <w:ind w:left="240"/>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o   Study includes open-label treatment arm with matched natural history control arm</w:t>
      </w:r>
    </w:p>
    <w:p>
      <w:pPr>
        <w:ind w:left="240" w:hanging="218"/>
        <w:spacing w:after="0"/>
        <w:tabs>
          <w:tab w:leader="none" w:pos="240"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PTC pipeline advances across multiple programs</w:t>
      </w:r>
    </w:p>
    <w:p>
      <w:pPr>
        <w:spacing w:after="0" w:line="6" w:lineRule="exact"/>
        <w:rPr>
          <w:rFonts w:ascii="Arial" w:cs="Arial" w:eastAsia="Arial" w:hAnsi="Arial"/>
          <w:sz w:val="12"/>
          <w:szCs w:val="12"/>
          <w:b w:val="1"/>
          <w:bCs w:val="1"/>
          <w:color w:val="auto"/>
        </w:rPr>
      </w:pPr>
    </w:p>
    <w:p>
      <w:pPr>
        <w:ind w:left="240"/>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o   Initiated Phase 2a study of PTC844, a next-generation DHODH inhibitor</w:t>
      </w:r>
    </w:p>
    <w:p>
      <w:pPr>
        <w:ind w:left="240"/>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o   Ongoing Phase 1 study of PTC612, an oral NLRP3 inhibitor, continues to advance</w:t>
      </w:r>
    </w:p>
    <w:p>
      <w:pPr>
        <w:ind w:left="240"/>
        <w:spacing w:after="0"/>
        <w:rPr>
          <w:rFonts w:ascii="Arial" w:cs="Arial" w:eastAsia="Arial" w:hAnsi="Arial"/>
          <w:sz w:val="12"/>
          <w:szCs w:val="12"/>
          <w:b w:val="1"/>
          <w:bCs w:val="1"/>
          <w:color w:val="auto"/>
        </w:rPr>
      </w:pPr>
      <w:r>
        <w:rPr>
          <w:rFonts w:ascii="Arial" w:cs="Arial" w:eastAsia="Arial" w:hAnsi="Arial"/>
          <w:sz w:val="12"/>
          <w:szCs w:val="12"/>
          <w:color w:val="auto"/>
        </w:rPr>
        <w:t>o   PTC303, a splicing development candidate targeting MSH3, expected to enter clinic in 2027</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Third Quarter 2026 Financial Highlights</w:t>
      </w:r>
    </w:p>
    <w:p>
      <w:pPr>
        <w:spacing w:after="0" w:line="6" w:lineRule="exact"/>
        <w:rPr>
          <w:sz w:val="20"/>
          <w:szCs w:val="20"/>
          <w:color w:val="auto"/>
        </w:rPr>
      </w:pPr>
    </w:p>
    <w:p>
      <w:pPr>
        <w:ind w:left="240" w:hanging="218"/>
        <w:spacing w:after="0"/>
        <w:tabs>
          <w:tab w:leader="none" w:pos="240" w:val="left"/>
        </w:tabs>
        <w:numPr>
          <w:ilvl w:val="0"/>
          <w:numId w:val="3"/>
        </w:numPr>
        <w:rPr>
          <w:rFonts w:ascii="Arial" w:cs="Arial" w:eastAsia="Arial" w:hAnsi="Arial"/>
          <w:sz w:val="12"/>
          <w:szCs w:val="12"/>
          <w:b w:val="1"/>
          <w:bCs w:val="1"/>
          <w:color w:val="auto"/>
        </w:rPr>
      </w:pPr>
      <w:r>
        <w:rPr>
          <w:rFonts w:ascii="Arial" w:cs="Arial" w:eastAsia="Arial" w:hAnsi="Arial"/>
          <w:sz w:val="12"/>
          <w:szCs w:val="12"/>
          <w:color w:val="auto"/>
        </w:rPr>
        <w:t>Total net product revenue and royalty revenue was $357.6 million for the third quarter of 2026, compared to $201.7 million for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234950</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4" w:name="page5"/>
    <w:bookmarkEnd w:id="4"/>
    <w:p>
      <w:pPr>
        <w:ind w:left="240" w:right="199" w:hanging="218"/>
        <w:spacing w:after="0" w:line="244" w:lineRule="auto"/>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Total net product revenue across the commercial portfolio was $275.9 million for the third quarter of 2026, compared to $131.0 million for the third quarter of 2025, representing an over 100% increase.</w:t>
      </w:r>
    </w:p>
    <w:p>
      <w:pPr>
        <w:ind w:left="240" w:hanging="218"/>
        <w:spacing w:after="0"/>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Sephience net product revenues were $181.9 million for the third quarter of 2026, representing 20% growth compared to the second quarter of 2026.</w:t>
      </w:r>
    </w:p>
    <w:p>
      <w:pPr>
        <w:spacing w:after="0" w:line="6" w:lineRule="exact"/>
        <w:rPr>
          <w:rFonts w:ascii="Arial" w:cs="Arial" w:eastAsia="Arial" w:hAnsi="Arial"/>
          <w:sz w:val="12"/>
          <w:szCs w:val="12"/>
          <w:b w:val="1"/>
          <w:bCs w:val="1"/>
          <w:color w:val="auto"/>
        </w:rPr>
      </w:pPr>
    </w:p>
    <w:p>
      <w:pPr>
        <w:ind w:left="240" w:right="59" w:hanging="218"/>
        <w:spacing w:after="0" w:line="234" w:lineRule="auto"/>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Translarna™ (ataluren) net product revenues were $48.5 million for the third quarter of 2026, compared to $50.7 million for the third quarter of 2025. Translarna third quarter 2026 revenue includes a government purchase order from Russia.</w:t>
      </w:r>
    </w:p>
    <w:p>
      <w:pPr>
        <w:ind w:left="240" w:hanging="218"/>
        <w:spacing w:after="0" w:line="187" w:lineRule="auto"/>
        <w:tabs>
          <w:tab w:leader="none" w:pos="240" w:val="left"/>
        </w:tabs>
        <w:numPr>
          <w:ilvl w:val="0"/>
          <w:numId w:val="4"/>
        </w:numPr>
        <w:rPr>
          <w:rFonts w:ascii="Arial" w:cs="Arial" w:eastAsia="Arial" w:hAnsi="Arial"/>
          <w:sz w:val="11"/>
          <w:szCs w:val="11"/>
          <w:b w:val="1"/>
          <w:bCs w:val="1"/>
          <w:color w:val="auto"/>
        </w:rPr>
      </w:pPr>
      <w:r>
        <w:rPr>
          <w:rFonts w:ascii="Arial" w:cs="Arial" w:eastAsia="Arial" w:hAnsi="Arial"/>
          <w:sz w:val="11"/>
          <w:szCs w:val="11"/>
          <w:color w:val="auto"/>
        </w:rPr>
        <w:t>Emflaza</w:t>
      </w:r>
      <w:r>
        <w:rPr>
          <w:rFonts w:ascii="Arial" w:cs="Arial" w:eastAsia="Arial" w:hAnsi="Arial"/>
          <w:sz w:val="16"/>
          <w:szCs w:val="16"/>
          <w:color w:val="auto"/>
          <w:vertAlign w:val="superscript"/>
        </w:rPr>
        <w:t>®</w:t>
      </w:r>
      <w:r>
        <w:rPr>
          <w:rFonts w:ascii="Arial" w:cs="Arial" w:eastAsia="Arial" w:hAnsi="Arial"/>
          <w:sz w:val="11"/>
          <w:szCs w:val="11"/>
          <w:color w:val="auto"/>
        </w:rPr>
        <w:t xml:space="preserve"> (deflazacort) net product revenues were $25.1 million for the third quarter of 2026, compared to $35.2 million for the third quarter of 2025.</w:t>
      </w:r>
    </w:p>
    <w:p>
      <w:pPr>
        <w:ind w:left="240" w:right="39" w:hanging="218"/>
        <w:spacing w:after="0" w:line="194" w:lineRule="auto"/>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Roche reported Evrysdi</w:t>
      </w:r>
      <w:r>
        <w:rPr>
          <w:rFonts w:ascii="Arial" w:cs="Arial" w:eastAsia="Arial" w:hAnsi="Arial"/>
          <w:sz w:val="17"/>
          <w:szCs w:val="17"/>
          <w:color w:val="auto"/>
          <w:vertAlign w:val="superscript"/>
        </w:rPr>
        <w:t>®</w:t>
      </w:r>
      <w:r>
        <w:rPr>
          <w:rFonts w:ascii="Arial" w:cs="Arial" w:eastAsia="Arial" w:hAnsi="Arial"/>
          <w:sz w:val="12"/>
          <w:szCs w:val="12"/>
          <w:color w:val="auto"/>
        </w:rPr>
        <w:t xml:space="preserve"> (risdiplam) year-to-date sales of approximately CHF 1,470 million, resulting in royalty revenue of $81.7 million to PTC for the third quarter of 2026, compared to $70.8 million to PTC for the third quarter of 2025.</w:t>
      </w:r>
    </w:p>
    <w:p>
      <w:pPr>
        <w:ind w:left="240" w:right="79" w:hanging="218"/>
        <w:spacing w:after="0" w:line="234" w:lineRule="auto"/>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Based on US GAAP (Generally Accepted Accounting Principles), GAAP R&amp;D expenses were $105.4 million for the third quarter of 2026, compared to $100.2 million for the third quarter of 2025.</w:t>
      </w:r>
    </w:p>
    <w:p>
      <w:pPr>
        <w:ind w:left="240" w:right="219" w:hanging="218"/>
        <w:spacing w:after="0" w:line="234" w:lineRule="auto"/>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Non-GAAP R&amp;D expenses were $94.9 million for the third quarter of 2026, excluding $10.5 million in non-cash, stock-based compensation expense, compared to $91.0 million for the third quarter of 2025, excluding $9.1 million in non-cash, stock-based compensation expense.</w:t>
      </w:r>
    </w:p>
    <w:p>
      <w:pPr>
        <w:ind w:left="240" w:hanging="218"/>
        <w:spacing w:after="0"/>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GAAP SG&amp;A expenses were $80.1 million for the third quarter of 2026, compared to $84.0 million for the third quarter of 2025.</w:t>
      </w:r>
    </w:p>
    <w:p>
      <w:pPr>
        <w:spacing w:after="0" w:line="6" w:lineRule="exact"/>
        <w:rPr>
          <w:rFonts w:ascii="Arial" w:cs="Arial" w:eastAsia="Arial" w:hAnsi="Arial"/>
          <w:sz w:val="12"/>
          <w:szCs w:val="12"/>
          <w:b w:val="1"/>
          <w:bCs w:val="1"/>
          <w:color w:val="auto"/>
        </w:rPr>
      </w:pPr>
    </w:p>
    <w:p>
      <w:pPr>
        <w:ind w:left="240" w:right="139" w:hanging="218"/>
        <w:spacing w:after="0" w:line="234" w:lineRule="auto"/>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Non-GAAP SG&amp;A expenses were $66.7 million for the third quarter of 2026, excluding $13.3 million in non-cash, stock-based compensation expense, compared to $73.8 million for the third quarter of 2025, excluding $10.3 million in non-cash, stock-based compensation expense.</w:t>
      </w:r>
    </w:p>
    <w:p>
      <w:pPr>
        <w:ind w:left="240" w:hanging="218"/>
        <w:spacing w:after="0"/>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Net loss was $51.7 million for the third quarter of 2026, compared to net income of $15.9 million for the third quarter of 2025.</w:t>
      </w:r>
    </w:p>
    <w:p>
      <w:pPr>
        <w:spacing w:after="0" w:line="6" w:lineRule="exact"/>
        <w:rPr>
          <w:rFonts w:ascii="Arial" w:cs="Arial" w:eastAsia="Arial" w:hAnsi="Arial"/>
          <w:sz w:val="12"/>
          <w:szCs w:val="12"/>
          <w:b w:val="1"/>
          <w:bCs w:val="1"/>
          <w:color w:val="auto"/>
        </w:rPr>
      </w:pPr>
    </w:p>
    <w:p>
      <w:pPr>
        <w:ind w:left="240" w:right="79" w:hanging="218"/>
        <w:spacing w:after="0" w:line="234" w:lineRule="auto"/>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In Q3 2026, the Company acquired the ST-920 gene therapy for Fabry disease for $111.0 million upfront, with up to an additional $100.0 million in contingent milestone payments based on US regulatory approvals. Acquired in-process research and development expense was $111.0 million for the third quarter of 2026 and related to the purchase of the ST-920 program.</w:t>
      </w:r>
    </w:p>
    <w:p>
      <w:pPr>
        <w:spacing w:after="0" w:line="1" w:lineRule="exact"/>
        <w:rPr>
          <w:rFonts w:ascii="Arial" w:cs="Arial" w:eastAsia="Arial" w:hAnsi="Arial"/>
          <w:sz w:val="12"/>
          <w:szCs w:val="12"/>
          <w:b w:val="1"/>
          <w:bCs w:val="1"/>
          <w:color w:val="auto"/>
        </w:rPr>
      </w:pPr>
    </w:p>
    <w:p>
      <w:pPr>
        <w:ind w:left="240" w:hanging="218"/>
        <w:spacing w:after="0"/>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Cash, cash equivalents, and marketable securities were $2,127.9 million on September 30, 2026, compared to $1,945.4 million on December 31, 2025.</w:t>
      </w:r>
    </w:p>
    <w:p>
      <w:pPr>
        <w:spacing w:after="0" w:line="6" w:lineRule="exact"/>
        <w:rPr>
          <w:rFonts w:ascii="Arial" w:cs="Arial" w:eastAsia="Arial" w:hAnsi="Arial"/>
          <w:sz w:val="12"/>
          <w:szCs w:val="12"/>
          <w:b w:val="1"/>
          <w:bCs w:val="1"/>
          <w:color w:val="auto"/>
        </w:rPr>
      </w:pPr>
    </w:p>
    <w:p>
      <w:pPr>
        <w:ind w:left="240" w:hanging="218"/>
        <w:spacing w:after="0"/>
        <w:tabs>
          <w:tab w:leader="none" w:pos="240" w:val="left"/>
        </w:tabs>
        <w:numPr>
          <w:ilvl w:val="0"/>
          <w:numId w:val="4"/>
        </w:numPr>
        <w:rPr>
          <w:rFonts w:ascii="Arial" w:cs="Arial" w:eastAsia="Arial" w:hAnsi="Arial"/>
          <w:sz w:val="12"/>
          <w:szCs w:val="12"/>
          <w:b w:val="1"/>
          <w:bCs w:val="1"/>
          <w:color w:val="auto"/>
        </w:rPr>
      </w:pPr>
      <w:r>
        <w:rPr>
          <w:rFonts w:ascii="Arial" w:cs="Arial" w:eastAsia="Arial" w:hAnsi="Arial"/>
          <w:sz w:val="12"/>
          <w:szCs w:val="12"/>
          <w:color w:val="auto"/>
        </w:rPr>
        <w:t>Shares issued and outstanding as of September 30, 2026, were 83,535,767.</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PTC Updates Full-Year 2026 Financial Guidance</w:t>
      </w:r>
    </w:p>
    <w:p>
      <w:pPr>
        <w:spacing w:after="0" w:line="6" w:lineRule="exact"/>
        <w:rPr>
          <w:sz w:val="20"/>
          <w:szCs w:val="20"/>
          <w:color w:val="auto"/>
        </w:rPr>
      </w:pPr>
    </w:p>
    <w:p>
      <w:pPr>
        <w:ind w:left="240" w:hanging="218"/>
        <w:spacing w:after="0"/>
        <w:tabs>
          <w:tab w:leader="none" w:pos="24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Expected total revenue increased to $1.29 to $1.32 billion, with total product revenue guidance raised to $960 to $990 million from $850 to $950 million</w:t>
      </w:r>
    </w:p>
    <w:p>
      <w:pPr>
        <w:spacing w:after="0" w:line="9" w:lineRule="exact"/>
        <w:rPr>
          <w:rFonts w:ascii="Arial" w:cs="Arial" w:eastAsia="Arial" w:hAnsi="Arial"/>
          <w:sz w:val="12"/>
          <w:szCs w:val="12"/>
          <w:b w:val="1"/>
          <w:bCs w:val="1"/>
          <w:color w:val="auto"/>
        </w:rPr>
      </w:pPr>
    </w:p>
    <w:p>
      <w:pPr>
        <w:ind w:left="240" w:hanging="218"/>
        <w:spacing w:after="0"/>
        <w:tabs>
          <w:tab w:leader="none" w:pos="24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GAAP R&amp;D and SG&amp;A expense guidance remains $775 to $815 million</w:t>
      </w:r>
    </w:p>
    <w:p>
      <w:pPr>
        <w:spacing w:after="0" w:line="6" w:lineRule="exact"/>
        <w:rPr>
          <w:rFonts w:ascii="Arial" w:cs="Arial" w:eastAsia="Arial" w:hAnsi="Arial"/>
          <w:sz w:val="12"/>
          <w:szCs w:val="12"/>
          <w:b w:val="1"/>
          <w:bCs w:val="1"/>
          <w:color w:val="auto"/>
        </w:rPr>
      </w:pPr>
    </w:p>
    <w:p>
      <w:pPr>
        <w:ind w:left="240" w:hanging="218"/>
        <w:spacing w:after="0"/>
        <w:tabs>
          <w:tab w:leader="none" w:pos="240" w:val="left"/>
        </w:tabs>
        <w:numPr>
          <w:ilvl w:val="0"/>
          <w:numId w:val="5"/>
        </w:numPr>
        <w:rPr>
          <w:rFonts w:ascii="Arial" w:cs="Arial" w:eastAsia="Arial" w:hAnsi="Arial"/>
          <w:sz w:val="12"/>
          <w:szCs w:val="12"/>
          <w:b w:val="1"/>
          <w:bCs w:val="1"/>
          <w:color w:val="auto"/>
        </w:rPr>
      </w:pPr>
      <w:r>
        <w:rPr>
          <w:rFonts w:ascii="Arial" w:cs="Arial" w:eastAsia="Arial" w:hAnsi="Arial"/>
          <w:sz w:val="12"/>
          <w:szCs w:val="12"/>
          <w:color w:val="auto"/>
        </w:rPr>
        <w:t>Non-GAAP R&amp;D and SG&amp;A expense guidance remains $680 to $720 million, excluding estimated non-cash, stock-based compensation expense of $95 million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Non-GAAP Financial Measures</w:t>
      </w:r>
    </w:p>
    <w:p>
      <w:pPr>
        <w:spacing w:after="0" w:line="9" w:lineRule="exact"/>
        <w:rPr>
          <w:sz w:val="20"/>
          <w:szCs w:val="20"/>
          <w:color w:val="auto"/>
        </w:rPr>
      </w:pPr>
    </w:p>
    <w:p>
      <w:pPr>
        <w:ind w:left="20" w:right="139"/>
        <w:spacing w:after="0" w:line="237" w:lineRule="auto"/>
        <w:rPr>
          <w:sz w:val="20"/>
          <w:szCs w:val="20"/>
          <w:color w:val="auto"/>
        </w:rPr>
      </w:pPr>
      <w:r>
        <w:rPr>
          <w:rFonts w:ascii="Arial" w:cs="Arial" w:eastAsia="Arial" w:hAnsi="Arial"/>
          <w:sz w:val="12"/>
          <w:szCs w:val="12"/>
          <w:color w:val="auto"/>
        </w:rPr>
        <w:t>In this press release, the financial results of PTC are provided in accordance with GAAP and using certain non-GAAP financial measures. In particular, the non-GAAP R&amp;D and SG&amp;A expense financial measures exclude non-cash, stock-based compensation expense. These non-GAAP financial measures are provided as a complement to financial measures reported in accordance with GAAP because management uses these non-GAAP financial measures when assessing and identifying operational trends. In management's opinion, these non-GAAP financial measures are useful to investors and other users of PTC's financial statements by providing greater transparency into the historical and projected operating performance of PTC and the company's future outlook. Non-GAAP financial measures are not an alternative for financial measures prepared in accordance with GAAP. Quantitative reconciliations of the non-GAAP financial measures to their respective closest equivalent GAAP financial measures are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394970</wp:posOffset>
            </wp:positionV>
            <wp:extent cx="56921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5" w:name="page6"/>
    <w:bookmarkEnd w:id="5"/>
    <w:p>
      <w:pPr>
        <w:ind w:left="3860"/>
        <w:spacing w:after="0"/>
        <w:rPr>
          <w:sz w:val="20"/>
          <w:szCs w:val="20"/>
          <w:color w:val="auto"/>
        </w:rPr>
      </w:pPr>
      <w:r>
        <w:rPr>
          <w:rFonts w:ascii="Arial" w:cs="Arial" w:eastAsia="Arial" w:hAnsi="Arial"/>
          <w:sz w:val="12"/>
          <w:szCs w:val="12"/>
          <w:b w:val="1"/>
          <w:bCs w:val="1"/>
          <w:color w:val="auto"/>
        </w:rPr>
        <w:t>PTC Therapeutics, Inc.</w:t>
      </w:r>
    </w:p>
    <w:p>
      <w:pPr>
        <w:spacing w:after="0" w:line="14" w:lineRule="exact"/>
        <w:rPr>
          <w:sz w:val="20"/>
          <w:szCs w:val="20"/>
          <w:color w:val="auto"/>
        </w:rPr>
      </w:pPr>
    </w:p>
    <w:p>
      <w:pPr>
        <w:ind w:left="3400"/>
        <w:spacing w:after="0"/>
        <w:rPr>
          <w:sz w:val="20"/>
          <w:szCs w:val="20"/>
          <w:color w:val="auto"/>
        </w:rPr>
      </w:pPr>
      <w:r>
        <w:rPr>
          <w:rFonts w:ascii="Arial" w:cs="Arial" w:eastAsia="Arial" w:hAnsi="Arial"/>
          <w:sz w:val="12"/>
          <w:szCs w:val="12"/>
          <w:b w:val="1"/>
          <w:bCs w:val="1"/>
          <w:color w:val="auto"/>
        </w:rPr>
        <w:t>Consolidated Statements of Operations</w:t>
      </w:r>
    </w:p>
    <w:p>
      <w:pPr>
        <w:jc w:val="center"/>
        <w:ind w:right="-20"/>
        <w:spacing w:after="0"/>
        <w:rPr>
          <w:sz w:val="20"/>
          <w:szCs w:val="20"/>
          <w:color w:val="auto"/>
        </w:rPr>
      </w:pPr>
      <w:r>
        <w:rPr>
          <w:rFonts w:ascii="Arial" w:cs="Arial" w:eastAsia="Arial" w:hAnsi="Arial"/>
          <w:sz w:val="12"/>
          <w:szCs w:val="12"/>
          <w:color w:val="auto"/>
        </w:rPr>
        <w:t>(in thousands, except share and per share data)</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80" w:type="dxa"/>
            <w:vAlign w:val="bottom"/>
            <w:gridSpan w:val="5"/>
          </w:tcPr>
          <w:p>
            <w:pPr>
              <w:jc w:val="right"/>
              <w:ind w:right="440"/>
              <w:spacing w:after="0"/>
              <w:rPr>
                <w:sz w:val="20"/>
                <w:szCs w:val="20"/>
                <w:color w:val="auto"/>
              </w:rPr>
            </w:pPr>
            <w:r>
              <w:rPr>
                <w:rFonts w:ascii="Arial" w:cs="Arial" w:eastAsia="Arial" w:hAnsi="Arial"/>
                <w:sz w:val="10"/>
                <w:szCs w:val="10"/>
                <w:b w:val="1"/>
                <w:bCs w:val="1"/>
                <w:color w:val="auto"/>
              </w:rPr>
              <w:t>Three Months Ended September</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6"/>
          </w:tcPr>
          <w:p>
            <w:pPr>
              <w:jc w:val="right"/>
              <w:ind w:right="42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0"/>
        </w:trPr>
        <w:tc>
          <w:tcPr>
            <w:tcW w:w="4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Arial" w:cs="Arial" w:eastAsia="Arial" w:hAnsi="Arial"/>
                <w:sz w:val="10"/>
                <w:szCs w:val="10"/>
                <w:b w:val="1"/>
                <w:bCs w:val="1"/>
                <w:color w:val="auto"/>
              </w:rPr>
              <w:t>30,</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6"/>
          </w:tcPr>
          <w:p>
            <w:pPr>
              <w:jc w:val="right"/>
              <w:ind w:right="540"/>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06"/>
        </w:trPr>
        <w:tc>
          <w:tcPr>
            <w:tcW w:w="4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394"/>
              <w:spacing w:after="0" w:line="106" w:lineRule="exact"/>
              <w:rPr>
                <w:sz w:val="20"/>
                <w:szCs w:val="20"/>
                <w:color w:val="auto"/>
              </w:rPr>
            </w:pPr>
            <w:r>
              <w:rPr>
                <w:rFonts w:ascii="Arial" w:cs="Arial" w:eastAsia="Arial" w:hAnsi="Arial"/>
                <w:sz w:val="10"/>
                <w:szCs w:val="10"/>
                <w:b w:val="1"/>
                <w:bCs w:val="1"/>
                <w:color w:val="auto"/>
              </w:rPr>
              <w:t>2026</w:t>
            </w: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ind w:right="395"/>
              <w:spacing w:after="0" w:line="106" w:lineRule="exact"/>
              <w:rPr>
                <w:sz w:val="20"/>
                <w:szCs w:val="20"/>
                <w:color w:val="auto"/>
              </w:rPr>
            </w:pPr>
            <w:r>
              <w:rPr>
                <w:rFonts w:ascii="Arial" w:cs="Arial" w:eastAsia="Arial" w:hAnsi="Arial"/>
                <w:sz w:val="10"/>
                <w:szCs w:val="10"/>
                <w:b w:val="1"/>
                <w:bCs w:val="1"/>
                <w:color w:val="auto"/>
              </w:rPr>
              <w:t>2025</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ind w:right="254"/>
              <w:spacing w:after="0" w:line="106" w:lineRule="exact"/>
              <w:rPr>
                <w:sz w:val="20"/>
                <w:szCs w:val="20"/>
                <w:color w:val="auto"/>
              </w:rPr>
            </w:pPr>
            <w:r>
              <w:rPr>
                <w:rFonts w:ascii="Arial" w:cs="Arial" w:eastAsia="Arial" w:hAnsi="Arial"/>
                <w:sz w:val="10"/>
                <w:szCs w:val="10"/>
                <w:b w:val="1"/>
                <w:bCs w:val="1"/>
                <w:color w:val="auto"/>
              </w:rPr>
              <w:t>2026</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55"/>
              <w:spacing w:after="0" w:line="106" w:lineRule="exact"/>
              <w:rPr>
                <w:sz w:val="20"/>
                <w:szCs w:val="20"/>
                <w:color w:val="auto"/>
              </w:rPr>
            </w:pPr>
            <w:r>
              <w:rPr>
                <w:rFonts w:ascii="Arial" w:cs="Arial" w:eastAsia="Arial" w:hAnsi="Arial"/>
                <w:sz w:val="10"/>
                <w:szCs w:val="10"/>
                <w:b w:val="1"/>
                <w:bCs w:val="1"/>
                <w:color w:val="auto"/>
              </w:rPr>
              <w:t>2025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4300" w:type="dxa"/>
            <w:vAlign w:val="bottom"/>
          </w:tcPr>
          <w:p>
            <w:pPr>
              <w:spacing w:after="0" w:line="89" w:lineRule="exact"/>
              <w:rPr>
                <w:sz w:val="20"/>
                <w:szCs w:val="20"/>
                <w:color w:val="auto"/>
              </w:rPr>
            </w:pPr>
            <w:r>
              <w:rPr>
                <w:rFonts w:ascii="Arial" w:cs="Arial" w:eastAsia="Arial" w:hAnsi="Arial"/>
                <w:sz w:val="9"/>
                <w:szCs w:val="9"/>
                <w:color w:val="auto"/>
              </w:rPr>
              <w:t>Revenues:</w:t>
            </w:r>
          </w:p>
        </w:tc>
        <w:tc>
          <w:tcPr>
            <w:tcW w:w="360" w:type="dxa"/>
            <w:vAlign w:val="bottom"/>
          </w:tcPr>
          <w:p>
            <w:pPr>
              <w:ind w:left="280"/>
              <w:spacing w:after="0" w:line="89" w:lineRule="exact"/>
              <w:rPr>
                <w:sz w:val="20"/>
                <w:szCs w:val="20"/>
                <w:color w:val="auto"/>
              </w:rPr>
            </w:pPr>
            <w:r>
              <w:rPr>
                <w:rFonts w:ascii="Arial" w:cs="Arial" w:eastAsia="Arial" w:hAnsi="Arial"/>
                <w:sz w:val="9"/>
                <w:szCs w:val="9"/>
                <w:color w:val="auto"/>
              </w:rPr>
              <w:t>​​​</w:t>
            </w:r>
          </w:p>
        </w:tc>
        <w:tc>
          <w:tcPr>
            <w:tcW w:w="320" w:type="dxa"/>
            <w:vAlign w:val="bottom"/>
          </w:tcPr>
          <w:p>
            <w:pPr>
              <w:jc w:val="right"/>
              <w:ind w:right="74"/>
              <w:spacing w:after="0" w:line="89" w:lineRule="exact"/>
              <w:rPr>
                <w:sz w:val="20"/>
                <w:szCs w:val="20"/>
                <w:color w:val="auto"/>
              </w:rPr>
            </w:pPr>
            <w:r>
              <w:rPr>
                <w:rFonts w:ascii="Arial" w:cs="Arial" w:eastAsia="Arial" w:hAnsi="Arial"/>
                <w:sz w:val="9"/>
                <w:szCs w:val="9"/>
                <w:color w:val="auto"/>
              </w:rPr>
              <w:t>​​​</w:t>
            </w:r>
          </w:p>
        </w:tc>
        <w:tc>
          <w:tcPr>
            <w:tcW w:w="780" w:type="dxa"/>
            <w:vAlign w:val="bottom"/>
          </w:tcPr>
          <w:p>
            <w:pPr>
              <w:spacing w:after="0"/>
              <w:rPr>
                <w:sz w:val="7"/>
                <w:szCs w:val="7"/>
                <w:color w:val="auto"/>
              </w:rPr>
            </w:pPr>
          </w:p>
        </w:tc>
        <w:tc>
          <w:tcPr>
            <w:tcW w:w="160" w:type="dxa"/>
            <w:vAlign w:val="bottom"/>
          </w:tcPr>
          <w:p>
            <w:pPr>
              <w:jc w:val="center"/>
              <w:spacing w:after="0" w:line="89" w:lineRule="exact"/>
              <w:rPr>
                <w:sz w:val="20"/>
                <w:szCs w:val="20"/>
                <w:color w:val="auto"/>
              </w:rPr>
            </w:pPr>
            <w:r>
              <w:rPr>
                <w:rFonts w:ascii="Arial" w:cs="Arial" w:eastAsia="Arial" w:hAnsi="Arial"/>
                <w:sz w:val="9"/>
                <w:szCs w:val="9"/>
                <w:color w:val="auto"/>
              </w:rPr>
              <w:t>​​​</w:t>
            </w:r>
          </w:p>
        </w:tc>
        <w:tc>
          <w:tcPr>
            <w:tcW w:w="340" w:type="dxa"/>
            <w:vAlign w:val="bottom"/>
          </w:tcPr>
          <w:p>
            <w:pPr>
              <w:jc w:val="right"/>
              <w:ind w:right="75"/>
              <w:spacing w:after="0" w:line="89" w:lineRule="exact"/>
              <w:rPr>
                <w:sz w:val="20"/>
                <w:szCs w:val="20"/>
                <w:color w:val="auto"/>
              </w:rPr>
            </w:pPr>
            <w:r>
              <w:rPr>
                <w:rFonts w:ascii="Arial" w:cs="Arial" w:eastAsia="Arial" w:hAnsi="Arial"/>
                <w:sz w:val="9"/>
                <w:szCs w:val="9"/>
                <w:color w:val="auto"/>
              </w:rPr>
              <w:t>​​​</w:t>
            </w: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ind w:left="40"/>
              <w:spacing w:after="0" w:line="89" w:lineRule="exact"/>
              <w:rPr>
                <w:sz w:val="20"/>
                <w:szCs w:val="20"/>
                <w:color w:val="auto"/>
              </w:rPr>
            </w:pPr>
            <w:r>
              <w:rPr>
                <w:rFonts w:ascii="Arial" w:cs="Arial" w:eastAsia="Arial" w:hAnsi="Arial"/>
                <w:sz w:val="9"/>
                <w:szCs w:val="9"/>
                <w:color w:val="auto"/>
              </w:rPr>
              <w:t>​​​</w:t>
            </w:r>
          </w:p>
        </w:tc>
        <w:tc>
          <w:tcPr>
            <w:tcW w:w="240" w:type="dxa"/>
            <w:vAlign w:val="bottom"/>
          </w:tcPr>
          <w:p>
            <w:pPr>
              <w:jc w:val="right"/>
              <w:ind w:right="14"/>
              <w:spacing w:after="0" w:line="89" w:lineRule="exact"/>
              <w:rPr>
                <w:sz w:val="20"/>
                <w:szCs w:val="20"/>
                <w:color w:val="auto"/>
              </w:rPr>
            </w:pPr>
            <w:r>
              <w:rPr>
                <w:rFonts w:ascii="Arial" w:cs="Arial" w:eastAsia="Arial" w:hAnsi="Arial"/>
                <w:sz w:val="9"/>
                <w:szCs w:val="9"/>
                <w:color w:val="auto"/>
              </w:rPr>
              <w:t>​​​</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ind w:left="20"/>
              <w:spacing w:after="0" w:line="89"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740" w:type="dxa"/>
            <w:vAlign w:val="bottom"/>
          </w:tcPr>
          <w:p>
            <w:pPr>
              <w:jc w:val="right"/>
              <w:ind w:right="575"/>
              <w:spacing w:after="0" w:line="89"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Net product revenue</w:t>
            </w:r>
          </w:p>
        </w:tc>
        <w:tc>
          <w:tcPr>
            <w:tcW w:w="680" w:type="dxa"/>
            <w:vAlign w:val="bottom"/>
            <w:gridSpan w:val="2"/>
          </w:tcPr>
          <w:p>
            <w:pPr>
              <w:jc w:val="right"/>
              <w:ind w:right="254"/>
              <w:spacing w:after="0" w:line="99" w:lineRule="exact"/>
              <w:rPr>
                <w:sz w:val="20"/>
                <w:szCs w:val="20"/>
                <w:color w:val="auto"/>
              </w:rPr>
            </w:pPr>
            <w:r>
              <w:rPr>
                <w:rFonts w:ascii="Arial" w:cs="Arial" w:eastAsia="Arial" w:hAnsi="Arial"/>
                <w:sz w:val="9"/>
                <w:szCs w:val="9"/>
                <w:color w:val="auto"/>
              </w:rPr>
              <w:t>$</w:t>
            </w: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275,894</w:t>
            </w:r>
          </w:p>
        </w:tc>
        <w:tc>
          <w:tcPr>
            <w:tcW w:w="160" w:type="dxa"/>
            <w:vAlign w:val="bottom"/>
          </w:tcPr>
          <w:p>
            <w:pPr>
              <w:spacing w:after="0"/>
              <w:rPr>
                <w:sz w:val="8"/>
                <w:szCs w:val="8"/>
                <w:color w:val="auto"/>
              </w:rPr>
            </w:pPr>
          </w:p>
        </w:tc>
        <w:tc>
          <w:tcPr>
            <w:tcW w:w="340" w:type="dxa"/>
            <w:vAlign w:val="bottom"/>
          </w:tcPr>
          <w:p>
            <w:pPr>
              <w:jc w:val="right"/>
              <w:ind w:right="235"/>
              <w:spacing w:after="0" w:line="99" w:lineRule="exact"/>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130,956</w:t>
            </w:r>
          </w:p>
        </w:tc>
        <w:tc>
          <w:tcPr>
            <w:tcW w:w="20" w:type="dxa"/>
            <w:vAlign w:val="bottom"/>
          </w:tcPr>
          <w:p>
            <w:pPr>
              <w:spacing w:after="0"/>
              <w:rPr>
                <w:sz w:val="8"/>
                <w:szCs w:val="8"/>
                <w:color w:val="auto"/>
              </w:rPr>
            </w:pPr>
          </w:p>
        </w:tc>
        <w:tc>
          <w:tcPr>
            <w:tcW w:w="340" w:type="dxa"/>
            <w:vAlign w:val="bottom"/>
            <w:gridSpan w:val="2"/>
          </w:tcPr>
          <w:p>
            <w:pPr>
              <w:jc w:val="right"/>
              <w:ind w:right="174"/>
              <w:spacing w:after="0" w:line="99" w:lineRule="exact"/>
              <w:rPr>
                <w:sz w:val="20"/>
                <w:szCs w:val="20"/>
                <w:color w:val="auto"/>
              </w:rPr>
            </w:pPr>
            <w:r>
              <w:rPr>
                <w:rFonts w:ascii="Arial" w:cs="Arial" w:eastAsia="Arial" w:hAnsi="Arial"/>
                <w:sz w:val="9"/>
                <w:szCs w:val="9"/>
                <w:color w:val="auto"/>
              </w:rPr>
              <w:t>$</w:t>
            </w: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740,286</w:t>
            </w:r>
          </w:p>
        </w:tc>
        <w:tc>
          <w:tcPr>
            <w:tcW w:w="40" w:type="dxa"/>
            <w:vAlign w:val="bottom"/>
          </w:tcPr>
          <w:p>
            <w:pPr>
              <w:spacing w:after="0"/>
              <w:rPr>
                <w:sz w:val="8"/>
                <w:szCs w:val="8"/>
                <w:color w:val="auto"/>
              </w:rPr>
            </w:pPr>
          </w:p>
        </w:tc>
        <w:tc>
          <w:tcPr>
            <w:tcW w:w="1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402,711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Collaboration and license revenue</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229</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9,258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50,967</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998,430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20"/>
                <w:szCs w:val="20"/>
                <w:color w:val="auto"/>
              </w:rPr>
            </w:pPr>
            <w:r>
              <w:rPr>
                <w:rFonts w:ascii="Arial" w:cs="Arial" w:eastAsia="Arial" w:hAnsi="Arial"/>
                <w:sz w:val="9"/>
                <w:szCs w:val="9"/>
                <w:color w:val="auto"/>
              </w:rPr>
              <w:t>Royalty revenue</w:t>
            </w: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81,684</w:t>
            </w:r>
          </w:p>
        </w:tc>
        <w:tc>
          <w:tcPr>
            <w:tcW w:w="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70,793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199,624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164,837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300" w:type="dxa"/>
            <w:vAlign w:val="bottom"/>
          </w:tcPr>
          <w:p>
            <w:pPr>
              <w:spacing w:after="0" w:line="88" w:lineRule="exact"/>
              <w:rPr>
                <w:sz w:val="20"/>
                <w:szCs w:val="20"/>
                <w:color w:val="auto"/>
              </w:rPr>
            </w:pPr>
            <w:r>
              <w:rPr>
                <w:rFonts w:ascii="Arial" w:cs="Arial" w:eastAsia="Arial" w:hAnsi="Arial"/>
                <w:sz w:val="9"/>
                <w:szCs w:val="9"/>
                <w:color w:val="auto"/>
              </w:rPr>
              <w:t>Total revenues</w:t>
            </w:r>
          </w:p>
        </w:tc>
        <w:tc>
          <w:tcPr>
            <w:tcW w:w="3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357,807</w:t>
            </w:r>
          </w:p>
        </w:tc>
        <w:tc>
          <w:tcPr>
            <w:tcW w:w="16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211,007</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990,877</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1,565,978</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00" w:type="dxa"/>
            <w:vAlign w:val="bottom"/>
          </w:tcPr>
          <w:p>
            <w:pPr>
              <w:spacing w:after="0" w:line="80" w:lineRule="exact"/>
              <w:rPr>
                <w:sz w:val="20"/>
                <w:szCs w:val="20"/>
                <w:color w:val="auto"/>
              </w:rPr>
            </w:pPr>
            <w:r>
              <w:rPr>
                <w:rFonts w:ascii="Arial" w:cs="Arial" w:eastAsia="Arial" w:hAnsi="Arial"/>
                <w:sz w:val="9"/>
                <w:szCs w:val="9"/>
                <w:color w:val="auto"/>
              </w:rPr>
              <w:t>Operating expenses:</w:t>
            </w: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Cost of product, collaboration and license sales, excluding amortization of acquired intangible assets</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23,664</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15,781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71,613</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40,063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Amortization of acquired intangible assets</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12,595</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7,534</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36,017</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15,393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Research and development (1)</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105,353</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100,158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305,376</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322,121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300" w:type="dxa"/>
            <w:vAlign w:val="bottom"/>
          </w:tcPr>
          <w:p>
            <w:pPr>
              <w:spacing w:after="0" w:line="98" w:lineRule="exact"/>
              <w:rPr>
                <w:sz w:val="20"/>
                <w:szCs w:val="20"/>
                <w:color w:val="auto"/>
              </w:rPr>
            </w:pPr>
            <w:r>
              <w:rPr>
                <w:rFonts w:ascii="Arial" w:cs="Arial" w:eastAsia="Arial" w:hAnsi="Arial"/>
                <w:sz w:val="9"/>
                <w:szCs w:val="9"/>
                <w:color w:val="auto"/>
              </w:rPr>
              <w:t>Selling, general and administrative (2)</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jc w:val="right"/>
              <w:spacing w:after="0" w:line="98" w:lineRule="exact"/>
              <w:rPr>
                <w:sz w:val="20"/>
                <w:szCs w:val="20"/>
                <w:color w:val="auto"/>
              </w:rPr>
            </w:pPr>
            <w:r>
              <w:rPr>
                <w:rFonts w:ascii="Arial" w:cs="Arial" w:eastAsia="Arial" w:hAnsi="Arial"/>
                <w:sz w:val="9"/>
                <w:szCs w:val="9"/>
                <w:color w:val="auto"/>
              </w:rPr>
              <w:t>80,081</w:t>
            </w: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jc w:val="right"/>
              <w:spacing w:after="0" w:line="98" w:lineRule="exact"/>
              <w:rPr>
                <w:sz w:val="20"/>
                <w:szCs w:val="20"/>
                <w:color w:val="auto"/>
              </w:rPr>
            </w:pPr>
            <w:r>
              <w:rPr>
                <w:rFonts w:ascii="Arial" w:cs="Arial" w:eastAsia="Arial" w:hAnsi="Arial"/>
                <w:sz w:val="9"/>
                <w:szCs w:val="9"/>
                <w:color w:val="auto"/>
              </w:rPr>
              <w:t>84,046</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spacing w:after="0" w:line="98" w:lineRule="exact"/>
              <w:rPr>
                <w:sz w:val="20"/>
                <w:szCs w:val="20"/>
                <w:color w:val="auto"/>
              </w:rPr>
            </w:pPr>
            <w:r>
              <w:rPr>
                <w:rFonts w:ascii="Arial" w:cs="Arial" w:eastAsia="Arial" w:hAnsi="Arial"/>
                <w:sz w:val="9"/>
                <w:szCs w:val="9"/>
                <w:color w:val="auto"/>
              </w:rPr>
              <w:t>246,894</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8" w:lineRule="exact"/>
              <w:rPr>
                <w:sz w:val="20"/>
                <w:szCs w:val="20"/>
                <w:color w:val="auto"/>
              </w:rPr>
            </w:pPr>
            <w:r>
              <w:rPr>
                <w:rFonts w:ascii="Arial" w:cs="Arial" w:eastAsia="Arial" w:hAnsi="Arial"/>
                <w:sz w:val="9"/>
                <w:szCs w:val="9"/>
                <w:color w:val="auto"/>
              </w:rPr>
              <w:t>250,269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Change in the fair value of contingent consideration</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8"/>
                <w:szCs w:val="8"/>
                <w:color w:val="auto"/>
              </w:rPr>
            </w:pPr>
          </w:p>
        </w:tc>
        <w:tc>
          <w:tcPr>
            <w:tcW w:w="8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spacing w:after="0" w:line="99" w:lineRule="exact"/>
              <w:rPr>
                <w:sz w:val="20"/>
                <w:szCs w:val="20"/>
                <w:color w:val="auto"/>
              </w:rPr>
            </w:pPr>
            <w:r>
              <w:rPr>
                <w:rFonts w:ascii="Arial" w:cs="Arial" w:eastAsia="Arial" w:hAnsi="Arial"/>
                <w:sz w:val="9"/>
                <w:szCs w:val="9"/>
                <w:color w:val="auto"/>
              </w:rPr>
              <w:t>(800)</w:t>
            </w: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Tangible asset impairment and losses on transactions, net</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8"/>
                <w:szCs w:val="8"/>
                <w:color w:val="auto"/>
              </w:rPr>
            </w:pP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472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927</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648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00" w:type="dxa"/>
            <w:vAlign w:val="bottom"/>
          </w:tcPr>
          <w:p>
            <w:pPr>
              <w:spacing w:after="0"/>
              <w:rPr>
                <w:sz w:val="20"/>
                <w:szCs w:val="20"/>
                <w:color w:val="auto"/>
              </w:rPr>
            </w:pPr>
            <w:r>
              <w:rPr>
                <w:rFonts w:ascii="Arial" w:cs="Arial" w:eastAsia="Arial" w:hAnsi="Arial"/>
                <w:sz w:val="9"/>
                <w:szCs w:val="9"/>
                <w:color w:val="auto"/>
              </w:rPr>
              <w:t>Acquired in-process research and development *</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111,000</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111,000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8"/>
        </w:trPr>
        <w:tc>
          <w:tcPr>
            <w:tcW w:w="4300" w:type="dxa"/>
            <w:vAlign w:val="bottom"/>
          </w:tcPr>
          <w:p>
            <w:pPr>
              <w:spacing w:after="0" w:line="88" w:lineRule="exact"/>
              <w:rPr>
                <w:sz w:val="20"/>
                <w:szCs w:val="20"/>
                <w:color w:val="auto"/>
              </w:rPr>
            </w:pPr>
            <w:r>
              <w:rPr>
                <w:rFonts w:ascii="Arial" w:cs="Arial" w:eastAsia="Arial" w:hAnsi="Arial"/>
                <w:sz w:val="9"/>
                <w:szCs w:val="9"/>
                <w:color w:val="auto"/>
              </w:rPr>
              <w:t>Total operating expenses</w:t>
            </w:r>
          </w:p>
        </w:tc>
        <w:tc>
          <w:tcPr>
            <w:tcW w:w="360" w:type="dxa"/>
            <w:vAlign w:val="bottom"/>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332,693</w:t>
            </w:r>
          </w:p>
        </w:tc>
        <w:tc>
          <w:tcPr>
            <w:tcW w:w="160" w:type="dxa"/>
            <w:vAlign w:val="bottom"/>
          </w:tcPr>
          <w:p>
            <w:pPr>
              <w:spacing w:after="0"/>
              <w:rPr>
                <w:sz w:val="7"/>
                <w:szCs w:val="7"/>
                <w:color w:val="auto"/>
              </w:rPr>
            </w:pPr>
          </w:p>
        </w:tc>
        <w:tc>
          <w:tcPr>
            <w:tcW w:w="34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207,991</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771,827</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7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627,694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300" w:type="dxa"/>
            <w:vAlign w:val="bottom"/>
          </w:tcPr>
          <w:p>
            <w:pPr>
              <w:spacing w:after="0" w:line="80" w:lineRule="exact"/>
              <w:rPr>
                <w:sz w:val="20"/>
                <w:szCs w:val="20"/>
                <w:color w:val="auto"/>
              </w:rPr>
            </w:pPr>
            <w:r>
              <w:rPr>
                <w:rFonts w:ascii="Arial" w:cs="Arial" w:eastAsia="Arial" w:hAnsi="Arial"/>
                <w:sz w:val="9"/>
                <w:szCs w:val="9"/>
                <w:color w:val="auto"/>
              </w:rPr>
              <w:t>Income from operations</w:t>
            </w: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jc w:val="right"/>
              <w:spacing w:after="0" w:line="80" w:lineRule="exact"/>
              <w:rPr>
                <w:sz w:val="20"/>
                <w:szCs w:val="20"/>
                <w:color w:val="auto"/>
              </w:rPr>
            </w:pPr>
            <w:r>
              <w:rPr>
                <w:rFonts w:ascii="Arial" w:cs="Arial" w:eastAsia="Arial" w:hAnsi="Arial"/>
                <w:sz w:val="9"/>
                <w:szCs w:val="9"/>
                <w:color w:val="auto"/>
              </w:rPr>
              <w:t>25,114</w:t>
            </w: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jc w:val="right"/>
              <w:spacing w:after="0" w:line="80" w:lineRule="exact"/>
              <w:rPr>
                <w:sz w:val="20"/>
                <w:szCs w:val="20"/>
                <w:color w:val="auto"/>
              </w:rPr>
            </w:pPr>
            <w:r>
              <w:rPr>
                <w:rFonts w:ascii="Arial" w:cs="Arial" w:eastAsia="Arial" w:hAnsi="Arial"/>
                <w:sz w:val="9"/>
                <w:szCs w:val="9"/>
                <w:color w:val="auto"/>
              </w:rPr>
              <w:t>3,016</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jc w:val="right"/>
              <w:spacing w:after="0" w:line="80" w:lineRule="exact"/>
              <w:rPr>
                <w:sz w:val="20"/>
                <w:szCs w:val="20"/>
                <w:color w:val="auto"/>
              </w:rPr>
            </w:pPr>
            <w:r>
              <w:rPr>
                <w:rFonts w:ascii="Arial" w:cs="Arial" w:eastAsia="Arial" w:hAnsi="Arial"/>
                <w:sz w:val="9"/>
                <w:szCs w:val="9"/>
                <w:color w:val="auto"/>
              </w:rPr>
              <w:t>219,050</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jc w:val="right"/>
              <w:spacing w:after="0" w:line="80" w:lineRule="exact"/>
              <w:rPr>
                <w:sz w:val="20"/>
                <w:szCs w:val="20"/>
                <w:color w:val="auto"/>
              </w:rPr>
            </w:pPr>
            <w:r>
              <w:rPr>
                <w:rFonts w:ascii="Arial" w:cs="Arial" w:eastAsia="Arial" w:hAnsi="Arial"/>
                <w:sz w:val="9"/>
                <w:szCs w:val="9"/>
                <w:color w:val="auto"/>
              </w:rPr>
              <w:t>938,284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Interest expense, net</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tcPr>
          <w:p>
            <w:pPr>
              <w:jc w:val="right"/>
              <w:ind w:right="115"/>
              <w:spacing w:after="0" w:line="99" w:lineRule="exact"/>
              <w:rPr>
                <w:sz w:val="20"/>
                <w:szCs w:val="20"/>
                <w:color w:val="auto"/>
              </w:rPr>
            </w:pPr>
            <w:r>
              <w:rPr>
                <w:rFonts w:ascii="Arial" w:cs="Arial" w:eastAsia="Arial" w:hAnsi="Arial"/>
                <w:sz w:val="9"/>
                <w:szCs w:val="9"/>
                <w:color w:val="auto"/>
              </w:rPr>
              <w:t>(45,866)</w:t>
            </w:r>
          </w:p>
        </w:tc>
        <w:tc>
          <w:tcPr>
            <w:tcW w:w="340" w:type="dxa"/>
            <w:vAlign w:val="bottom"/>
          </w:tcPr>
          <w:p>
            <w:pPr>
              <w:spacing w:after="0"/>
              <w:rPr>
                <w:sz w:val="8"/>
                <w:szCs w:val="8"/>
                <w:color w:val="auto"/>
              </w:rPr>
            </w:pPr>
          </w:p>
        </w:tc>
        <w:tc>
          <w:tcPr>
            <w:tcW w:w="800" w:type="dxa"/>
            <w:vAlign w:val="bottom"/>
            <w:gridSpan w:val="2"/>
          </w:tcPr>
          <w:p>
            <w:pPr>
              <w:jc w:val="right"/>
              <w:ind w:right="20"/>
              <w:spacing w:after="0" w:line="99" w:lineRule="exact"/>
              <w:rPr>
                <w:sz w:val="20"/>
                <w:szCs w:val="20"/>
                <w:color w:val="auto"/>
              </w:rPr>
            </w:pPr>
            <w:r>
              <w:rPr>
                <w:rFonts w:ascii="Arial" w:cs="Arial" w:eastAsia="Arial" w:hAnsi="Arial"/>
                <w:sz w:val="9"/>
                <w:szCs w:val="9"/>
                <w:color w:val="auto"/>
              </w:rPr>
              <w:t>(32,592)</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gridSpan w:val="2"/>
          </w:tcPr>
          <w:p>
            <w:pPr>
              <w:jc w:val="right"/>
              <w:ind w:right="40"/>
              <w:spacing w:after="0" w:line="99" w:lineRule="exact"/>
              <w:rPr>
                <w:sz w:val="20"/>
                <w:szCs w:val="20"/>
                <w:color w:val="auto"/>
              </w:rPr>
            </w:pPr>
            <w:r>
              <w:rPr>
                <w:rFonts w:ascii="Arial" w:cs="Arial" w:eastAsia="Arial" w:hAnsi="Arial"/>
                <w:sz w:val="9"/>
                <w:szCs w:val="9"/>
                <w:color w:val="auto"/>
              </w:rPr>
              <w:t>(143,377)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spacing w:after="0" w:line="99" w:lineRule="exact"/>
              <w:rPr>
                <w:sz w:val="20"/>
                <w:szCs w:val="20"/>
                <w:color w:val="auto"/>
              </w:rPr>
            </w:pPr>
            <w:r>
              <w:rPr>
                <w:rFonts w:ascii="Arial" w:cs="Arial" w:eastAsia="Arial" w:hAnsi="Arial"/>
                <w:sz w:val="9"/>
                <w:szCs w:val="9"/>
                <w:color w:val="auto"/>
              </w:rPr>
              <w:t>(97,042)</w:t>
            </w:r>
          </w:p>
        </w:tc>
        <w:tc>
          <w:tcPr>
            <w:tcW w:w="0" w:type="dxa"/>
            <w:vAlign w:val="bottom"/>
          </w:tcPr>
          <w:p>
            <w:pPr>
              <w:spacing w:after="0"/>
              <w:rPr>
                <w:sz w:val="1"/>
                <w:szCs w:val="1"/>
                <w:color w:val="auto"/>
              </w:rPr>
            </w:pPr>
          </w:p>
        </w:tc>
      </w:tr>
      <w:tr>
        <w:trPr>
          <w:trHeight w:val="98"/>
        </w:trPr>
        <w:tc>
          <w:tcPr>
            <w:tcW w:w="4300" w:type="dxa"/>
            <w:vAlign w:val="bottom"/>
          </w:tcPr>
          <w:p>
            <w:pPr>
              <w:spacing w:after="0" w:line="98" w:lineRule="exact"/>
              <w:rPr>
                <w:sz w:val="20"/>
                <w:szCs w:val="20"/>
                <w:color w:val="auto"/>
              </w:rPr>
            </w:pPr>
            <w:r>
              <w:rPr>
                <w:rFonts w:ascii="Arial" w:cs="Arial" w:eastAsia="Arial" w:hAnsi="Arial"/>
                <w:sz w:val="9"/>
                <w:szCs w:val="9"/>
                <w:color w:val="auto"/>
              </w:rPr>
              <w:t>Other (expense) income, net</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gridSpan w:val="2"/>
          </w:tcPr>
          <w:p>
            <w:pPr>
              <w:jc w:val="right"/>
              <w:ind w:right="115"/>
              <w:spacing w:after="0" w:line="98" w:lineRule="exact"/>
              <w:rPr>
                <w:sz w:val="20"/>
                <w:szCs w:val="20"/>
                <w:color w:val="auto"/>
              </w:rPr>
            </w:pPr>
            <w:r>
              <w:rPr>
                <w:rFonts w:ascii="Arial" w:cs="Arial" w:eastAsia="Arial" w:hAnsi="Arial"/>
                <w:sz w:val="9"/>
                <w:szCs w:val="9"/>
                <w:color w:val="auto"/>
              </w:rPr>
              <w:t>(1,073)</w:t>
            </w:r>
          </w:p>
        </w:tc>
        <w:tc>
          <w:tcPr>
            <w:tcW w:w="340" w:type="dxa"/>
            <w:vAlign w:val="bottom"/>
          </w:tcPr>
          <w:p>
            <w:pPr>
              <w:spacing w:after="0"/>
              <w:rPr>
                <w:sz w:val="8"/>
                <w:szCs w:val="8"/>
                <w:color w:val="auto"/>
              </w:rPr>
            </w:pPr>
          </w:p>
        </w:tc>
        <w:tc>
          <w:tcPr>
            <w:tcW w:w="780" w:type="dxa"/>
            <w:vAlign w:val="bottom"/>
          </w:tcPr>
          <w:p>
            <w:pPr>
              <w:jc w:val="right"/>
              <w:spacing w:after="0" w:line="98" w:lineRule="exact"/>
              <w:rPr>
                <w:sz w:val="20"/>
                <w:szCs w:val="20"/>
                <w:color w:val="auto"/>
              </w:rPr>
            </w:pPr>
            <w:r>
              <w:rPr>
                <w:rFonts w:ascii="Arial" w:cs="Arial" w:eastAsia="Arial" w:hAnsi="Arial"/>
                <w:sz w:val="9"/>
                <w:szCs w:val="9"/>
                <w:color w:val="auto"/>
              </w:rPr>
              <w:t>6,502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(2,415)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right"/>
              <w:spacing w:after="0" w:line="98" w:lineRule="exact"/>
              <w:rPr>
                <w:sz w:val="20"/>
                <w:szCs w:val="20"/>
                <w:color w:val="auto"/>
              </w:rPr>
            </w:pPr>
            <w:r>
              <w:rPr>
                <w:rFonts w:ascii="Arial" w:cs="Arial" w:eastAsia="Arial" w:hAnsi="Arial"/>
                <w:sz w:val="9"/>
                <w:szCs w:val="9"/>
                <w:color w:val="auto"/>
              </w:rPr>
              <w:t>(5,540)</w:t>
            </w:r>
          </w:p>
        </w:tc>
        <w:tc>
          <w:tcPr>
            <w:tcW w:w="0" w:type="dxa"/>
            <w:vAlign w:val="bottom"/>
          </w:tcPr>
          <w:p>
            <w:pPr>
              <w:spacing w:after="0"/>
              <w:rPr>
                <w:sz w:val="1"/>
                <w:szCs w:val="1"/>
                <w:color w:val="auto"/>
              </w:rPr>
            </w:pPr>
          </w:p>
        </w:tc>
      </w:tr>
      <w:tr>
        <w:trPr>
          <w:trHeight w:val="108"/>
        </w:trPr>
        <w:tc>
          <w:tcPr>
            <w:tcW w:w="4300" w:type="dxa"/>
            <w:vAlign w:val="bottom"/>
          </w:tcPr>
          <w:p>
            <w:pPr>
              <w:spacing w:after="0"/>
              <w:rPr>
                <w:sz w:val="20"/>
                <w:szCs w:val="20"/>
                <w:color w:val="auto"/>
              </w:rPr>
            </w:pPr>
            <w:r>
              <w:rPr>
                <w:rFonts w:ascii="Arial" w:cs="Arial" w:eastAsia="Arial" w:hAnsi="Arial"/>
                <w:sz w:val="9"/>
                <w:szCs w:val="9"/>
                <w:color w:val="auto"/>
              </w:rPr>
              <w:t>Loss on extinguishment of debt</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2"/>
          </w:tcPr>
          <w:p>
            <w:pPr>
              <w:jc w:val="right"/>
              <w:ind w:right="115"/>
              <w:spacing w:after="0"/>
              <w:rPr>
                <w:sz w:val="20"/>
                <w:szCs w:val="20"/>
                <w:color w:val="auto"/>
              </w:rPr>
            </w:pPr>
            <w:r>
              <w:rPr>
                <w:rFonts w:ascii="Arial" w:cs="Arial" w:eastAsia="Arial" w:hAnsi="Arial"/>
                <w:sz w:val="9"/>
                <w:szCs w:val="9"/>
                <w:color w:val="auto"/>
              </w:rPr>
              <w:t>(19,263)</w:t>
            </w:r>
          </w:p>
        </w:tc>
        <w:tc>
          <w:tcPr>
            <w:tcW w:w="340" w:type="dxa"/>
            <w:vAlign w:val="bottom"/>
          </w:tcPr>
          <w:p>
            <w:pPr>
              <w:spacing w:after="0"/>
              <w:rPr>
                <w:sz w:val="9"/>
                <w:szCs w:val="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9"/>
                <w:szCs w:val="9"/>
                <w:color w:val="auto"/>
              </w:rPr>
              <w:t>(19,263)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80"/>
        </w:trPr>
        <w:tc>
          <w:tcPr>
            <w:tcW w:w="4300" w:type="dxa"/>
            <w:vAlign w:val="bottom"/>
          </w:tcPr>
          <w:p>
            <w:pPr>
              <w:spacing w:after="0" w:line="80" w:lineRule="exact"/>
              <w:rPr>
                <w:sz w:val="20"/>
                <w:szCs w:val="20"/>
                <w:color w:val="auto"/>
              </w:rPr>
            </w:pPr>
            <w:r>
              <w:rPr>
                <w:rFonts w:ascii="Arial" w:cs="Arial" w:eastAsia="Arial" w:hAnsi="Arial"/>
                <w:sz w:val="9"/>
                <w:szCs w:val="9"/>
                <w:color w:val="auto"/>
              </w:rPr>
              <w:t>(Loss) income before income tax (expense) benefit</w:t>
            </w:r>
          </w:p>
        </w:tc>
        <w:tc>
          <w:tcPr>
            <w:tcW w:w="36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jc w:val="right"/>
              <w:spacing w:after="0" w:line="80" w:lineRule="exact"/>
              <w:rPr>
                <w:sz w:val="20"/>
                <w:szCs w:val="20"/>
                <w:color w:val="auto"/>
              </w:rPr>
            </w:pPr>
            <w:r>
              <w:rPr>
                <w:rFonts w:ascii="Arial" w:cs="Arial" w:eastAsia="Arial" w:hAnsi="Arial"/>
                <w:sz w:val="9"/>
                <w:szCs w:val="9"/>
                <w:color w:val="auto"/>
              </w:rPr>
              <w:t>(41,088)</w:t>
            </w:r>
          </w:p>
        </w:tc>
        <w:tc>
          <w:tcPr>
            <w:tcW w:w="16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jc w:val="right"/>
              <w:spacing w:after="0" w:line="80" w:lineRule="exact"/>
              <w:rPr>
                <w:sz w:val="20"/>
                <w:szCs w:val="20"/>
                <w:color w:val="auto"/>
              </w:rPr>
            </w:pPr>
            <w:r>
              <w:rPr>
                <w:rFonts w:ascii="Arial" w:cs="Arial" w:eastAsia="Arial" w:hAnsi="Arial"/>
                <w:sz w:val="9"/>
                <w:szCs w:val="9"/>
                <w:color w:val="auto"/>
              </w:rPr>
              <w:t>(23,074)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right"/>
              <w:spacing w:after="0" w:line="80" w:lineRule="exact"/>
              <w:rPr>
                <w:sz w:val="20"/>
                <w:szCs w:val="20"/>
                <w:color w:val="auto"/>
              </w:rPr>
            </w:pPr>
            <w:r>
              <w:rPr>
                <w:rFonts w:ascii="Arial" w:cs="Arial" w:eastAsia="Arial" w:hAnsi="Arial"/>
                <w:sz w:val="9"/>
                <w:szCs w:val="9"/>
                <w:color w:val="auto"/>
              </w:rPr>
              <w:t>53,995</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jc w:val="right"/>
              <w:spacing w:after="0" w:line="80" w:lineRule="exact"/>
              <w:rPr>
                <w:sz w:val="20"/>
                <w:szCs w:val="20"/>
                <w:color w:val="auto"/>
              </w:rPr>
            </w:pPr>
            <w:r>
              <w:rPr>
                <w:rFonts w:ascii="Arial" w:cs="Arial" w:eastAsia="Arial" w:hAnsi="Arial"/>
                <w:sz w:val="9"/>
                <w:szCs w:val="9"/>
                <w:color w:val="auto"/>
              </w:rPr>
              <w:t>835,702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20"/>
                <w:szCs w:val="20"/>
                <w:color w:val="auto"/>
              </w:rPr>
            </w:pPr>
            <w:r>
              <w:rPr>
                <w:rFonts w:ascii="Arial" w:cs="Arial" w:eastAsia="Arial" w:hAnsi="Arial"/>
                <w:sz w:val="9"/>
                <w:szCs w:val="9"/>
                <w:color w:val="auto"/>
              </w:rPr>
              <w:t>Income tax (expense) benefit</w:t>
            </w: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2"/>
          </w:tcPr>
          <w:p>
            <w:pPr>
              <w:jc w:val="right"/>
              <w:ind w:right="115"/>
              <w:spacing w:after="0"/>
              <w:rPr>
                <w:sz w:val="20"/>
                <w:szCs w:val="20"/>
                <w:color w:val="auto"/>
              </w:rPr>
            </w:pPr>
            <w:r>
              <w:rPr>
                <w:rFonts w:ascii="Arial" w:cs="Arial" w:eastAsia="Arial" w:hAnsi="Arial"/>
                <w:sz w:val="9"/>
                <w:szCs w:val="9"/>
                <w:color w:val="auto"/>
              </w:rPr>
              <w:t>(10,605)</w:t>
            </w:r>
          </w:p>
        </w:tc>
        <w:tc>
          <w:tcPr>
            <w:tcW w:w="3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9"/>
                <w:szCs w:val="9"/>
                <w:color w:val="auto"/>
              </w:rPr>
              <w:t>38,970</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9"/>
                <w:szCs w:val="9"/>
                <w:color w:val="auto"/>
              </w:rPr>
              <w:t>(25,001)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right"/>
              <w:spacing w:after="0"/>
              <w:rPr>
                <w:sz w:val="20"/>
                <w:szCs w:val="20"/>
                <w:color w:val="auto"/>
              </w:rPr>
            </w:pPr>
            <w:r>
              <w:rPr>
                <w:rFonts w:ascii="Arial" w:cs="Arial" w:eastAsia="Arial" w:hAnsi="Arial"/>
                <w:sz w:val="9"/>
                <w:szCs w:val="9"/>
                <w:color w:val="auto"/>
              </w:rPr>
              <w:t>(18,093)</w:t>
            </w:r>
          </w:p>
        </w:tc>
        <w:tc>
          <w:tcPr>
            <w:tcW w:w="0" w:type="dxa"/>
            <w:vAlign w:val="bottom"/>
          </w:tcPr>
          <w:p>
            <w:pPr>
              <w:spacing w:after="0"/>
              <w:rPr>
                <w:sz w:val="1"/>
                <w:szCs w:val="1"/>
                <w:color w:val="auto"/>
              </w:rPr>
            </w:pPr>
          </w:p>
        </w:tc>
      </w:tr>
      <w:tr>
        <w:trPr>
          <w:trHeight w:val="95"/>
        </w:trPr>
        <w:tc>
          <w:tcPr>
            <w:tcW w:w="4300" w:type="dxa"/>
            <w:vAlign w:val="bottom"/>
          </w:tcPr>
          <w:p>
            <w:pPr>
              <w:spacing w:after="0" w:line="88" w:lineRule="exact"/>
              <w:rPr>
                <w:sz w:val="20"/>
                <w:szCs w:val="20"/>
                <w:color w:val="auto"/>
              </w:rPr>
            </w:pPr>
            <w:r>
              <w:rPr>
                <w:rFonts w:ascii="Arial" w:cs="Arial" w:eastAsia="Arial" w:hAnsi="Arial"/>
                <w:sz w:val="9"/>
                <w:szCs w:val="9"/>
                <w:color w:val="auto"/>
              </w:rPr>
              <w:t>Net (loss) income attributable to common stockholders</w:t>
            </w:r>
          </w:p>
        </w:tc>
        <w:tc>
          <w:tcPr>
            <w:tcW w:w="36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4"/>
                <w:szCs w:val="4"/>
                <w:color w:val="auto"/>
                <w:w w:val="87"/>
              </w:rPr>
              <w:t>$</w:t>
            </w:r>
          </w:p>
        </w:tc>
        <w:tc>
          <w:tcPr>
            <w:tcW w:w="7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(51,693)</w:t>
            </w:r>
          </w:p>
        </w:tc>
        <w:tc>
          <w:tcPr>
            <w:tcW w:w="16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ind w:right="235"/>
              <w:spacing w:after="0" w:line="88" w:lineRule="exact"/>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15,896</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4"/>
                <w:szCs w:val="4"/>
                <w:color w:val="auto"/>
                <w:w w:val="87"/>
              </w:rPr>
              <w:t>$</w:t>
            </w: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28,994</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9"/>
                <w:szCs w:val="9"/>
                <w:color w:val="auto"/>
              </w:rPr>
              <w:t>817,609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20"/>
                <w:szCs w:val="20"/>
                <w:color w:val="auto"/>
              </w:rPr>
            </w:pPr>
            <w:r>
              <w:rPr>
                <w:rFonts w:ascii="Arial" w:cs="Arial" w:eastAsia="Arial" w:hAnsi="Arial"/>
                <w:sz w:val="9"/>
                <w:szCs w:val="9"/>
                <w:color w:val="auto"/>
              </w:rPr>
              <w:t>Weighted-average shares outstanding:</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9"/>
                <w:szCs w:val="9"/>
                <w:color w:val="auto"/>
              </w:rPr>
              <w:t>83,476,100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9"/>
                <w:szCs w:val="9"/>
                <w:color w:val="auto"/>
              </w:rPr>
              <w:t>78,471,119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83,004,625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9"/>
                <w:szCs w:val="9"/>
                <w:color w:val="auto"/>
              </w:rPr>
              <w:t>78,642,478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4300" w:type="dxa"/>
            <w:vAlign w:val="bottom"/>
          </w:tcPr>
          <w:p>
            <w:pPr>
              <w:spacing w:after="0" w:line="99" w:lineRule="exact"/>
              <w:rPr>
                <w:sz w:val="20"/>
                <w:szCs w:val="20"/>
                <w:color w:val="auto"/>
              </w:rPr>
            </w:pPr>
            <w:r>
              <w:rPr>
                <w:rFonts w:ascii="Arial" w:cs="Arial" w:eastAsia="Arial" w:hAnsi="Arial"/>
                <w:sz w:val="9"/>
                <w:szCs w:val="9"/>
                <w:color w:val="auto"/>
              </w:rPr>
              <w:t>Basic (in shares)</w:t>
            </w: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300" w:type="dxa"/>
            <w:vAlign w:val="bottom"/>
          </w:tcPr>
          <w:p>
            <w:pPr>
              <w:spacing w:after="0" w:line="99" w:lineRule="exact"/>
              <w:rPr>
                <w:sz w:val="20"/>
                <w:szCs w:val="20"/>
                <w:color w:val="auto"/>
              </w:rPr>
            </w:pPr>
            <w:r>
              <w:rPr>
                <w:rFonts w:ascii="Arial" w:cs="Arial" w:eastAsia="Arial" w:hAnsi="Arial"/>
                <w:sz w:val="9"/>
                <w:szCs w:val="9"/>
                <w:color w:val="auto"/>
              </w:rPr>
              <w:t>Diluted (in shares)</w:t>
            </w: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83,476,100</w:t>
            </w:r>
          </w:p>
        </w:tc>
        <w:tc>
          <w:tcPr>
            <w:tcW w:w="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87,115,369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92,253,675</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86,899,727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300" w:type="dxa"/>
            <w:vAlign w:val="bottom"/>
          </w:tcPr>
          <w:p>
            <w:pPr>
              <w:spacing w:after="0" w:line="99" w:lineRule="exact"/>
              <w:rPr>
                <w:sz w:val="20"/>
                <w:szCs w:val="20"/>
                <w:color w:val="auto"/>
              </w:rPr>
            </w:pPr>
            <w:r>
              <w:rPr>
                <w:rFonts w:ascii="Arial" w:cs="Arial" w:eastAsia="Arial" w:hAnsi="Arial"/>
                <w:sz w:val="9"/>
                <w:szCs w:val="9"/>
                <w:color w:val="auto"/>
              </w:rPr>
              <w:t>Net (loss) income per share</w:t>
            </w:r>
            <w:r>
              <w:rPr>
                <w:rFonts w:ascii="Times New Roman" w:cs="Times New Roman" w:eastAsia="Times New Roman" w:hAnsi="Times New Roman"/>
                <w:sz w:val="9"/>
                <w:szCs w:val="9"/>
                <w:color w:val="auto"/>
              </w:rPr>
              <w:t>—</w:t>
            </w:r>
            <w:r>
              <w:rPr>
                <w:rFonts w:ascii="Arial" w:cs="Arial" w:eastAsia="Arial" w:hAnsi="Arial"/>
                <w:sz w:val="9"/>
                <w:szCs w:val="9"/>
                <w:color w:val="auto"/>
              </w:rPr>
              <w:t>basic (in dollars per share)</w:t>
            </w:r>
          </w:p>
        </w:tc>
        <w:tc>
          <w:tcPr>
            <w:tcW w:w="360" w:type="dxa"/>
            <w:vAlign w:val="bottom"/>
          </w:tcPr>
          <w:p>
            <w:pPr>
              <w:spacing w:after="0"/>
              <w:rPr>
                <w:sz w:val="9"/>
                <w:szCs w:val="9"/>
                <w:color w:val="auto"/>
              </w:rPr>
            </w:pPr>
          </w:p>
        </w:tc>
        <w:tc>
          <w:tcPr>
            <w:tcW w:w="320" w:type="dxa"/>
            <w:vAlign w:val="bottom"/>
            <w:tcBorders>
              <w:bottom w:val="single" w:sz="8" w:color="auto"/>
            </w:tcBorders>
          </w:tcPr>
          <w:p>
            <w:pPr>
              <w:jc w:val="right"/>
              <w:ind w:right="254"/>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(0.62)</w:t>
            </w:r>
          </w:p>
        </w:tc>
        <w:tc>
          <w:tcPr>
            <w:tcW w:w="160" w:type="dxa"/>
            <w:vAlign w:val="bottom"/>
          </w:tcPr>
          <w:p>
            <w:pPr>
              <w:spacing w:after="0"/>
              <w:rPr>
                <w:sz w:val="9"/>
                <w:szCs w:val="9"/>
                <w:color w:val="auto"/>
              </w:rPr>
            </w:pPr>
          </w:p>
        </w:tc>
        <w:tc>
          <w:tcPr>
            <w:tcW w:w="340" w:type="dxa"/>
            <w:vAlign w:val="bottom"/>
            <w:tcBorders>
              <w:bottom w:val="single" w:sz="8" w:color="auto"/>
            </w:tcBorders>
          </w:tcPr>
          <w:p>
            <w:pPr>
              <w:jc w:val="right"/>
              <w:ind w:right="235"/>
              <w:spacing w:after="0" w:line="99"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0.20</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4"/>
                <w:szCs w:val="4"/>
                <w:color w:val="auto"/>
                <w:w w:val="87"/>
              </w:rPr>
              <w:t>$</w:t>
            </w:r>
          </w:p>
        </w:tc>
        <w:tc>
          <w:tcPr>
            <w:tcW w:w="5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0.35</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10.40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300" w:type="dxa"/>
            <w:vAlign w:val="bottom"/>
          </w:tcPr>
          <w:p>
            <w:pPr>
              <w:spacing w:after="0" w:line="99" w:lineRule="exact"/>
              <w:rPr>
                <w:sz w:val="20"/>
                <w:szCs w:val="20"/>
                <w:color w:val="auto"/>
              </w:rPr>
            </w:pPr>
            <w:r>
              <w:rPr>
                <w:rFonts w:ascii="Arial" w:cs="Arial" w:eastAsia="Arial" w:hAnsi="Arial"/>
                <w:sz w:val="9"/>
                <w:szCs w:val="9"/>
                <w:color w:val="auto"/>
              </w:rPr>
              <w:t>Net (loss) income per share</w:t>
            </w:r>
            <w:r>
              <w:rPr>
                <w:rFonts w:ascii="Times New Roman" w:cs="Times New Roman" w:eastAsia="Times New Roman" w:hAnsi="Times New Roman"/>
                <w:sz w:val="9"/>
                <w:szCs w:val="9"/>
                <w:color w:val="auto"/>
              </w:rPr>
              <w:t>—</w:t>
            </w:r>
            <w:r>
              <w:rPr>
                <w:rFonts w:ascii="Arial" w:cs="Arial" w:eastAsia="Arial" w:hAnsi="Arial"/>
                <w:sz w:val="9"/>
                <w:szCs w:val="9"/>
                <w:color w:val="auto"/>
              </w:rPr>
              <w:t>diluted (in dollars per share)</w:t>
            </w:r>
          </w:p>
        </w:tc>
        <w:tc>
          <w:tcPr>
            <w:tcW w:w="360" w:type="dxa"/>
            <w:vAlign w:val="bottom"/>
          </w:tcPr>
          <w:p>
            <w:pPr>
              <w:spacing w:after="0"/>
              <w:rPr>
                <w:sz w:val="9"/>
                <w:szCs w:val="9"/>
                <w:color w:val="auto"/>
              </w:rPr>
            </w:pPr>
          </w:p>
        </w:tc>
        <w:tc>
          <w:tcPr>
            <w:tcW w:w="320" w:type="dxa"/>
            <w:vAlign w:val="bottom"/>
            <w:tcBorders>
              <w:bottom w:val="single" w:sz="8" w:color="auto"/>
            </w:tcBorders>
          </w:tcPr>
          <w:p>
            <w:pPr>
              <w:jc w:val="right"/>
              <w:ind w:right="254"/>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(0.62)</w:t>
            </w:r>
          </w:p>
        </w:tc>
        <w:tc>
          <w:tcPr>
            <w:tcW w:w="160" w:type="dxa"/>
            <w:vAlign w:val="bottom"/>
          </w:tcPr>
          <w:p>
            <w:pPr>
              <w:spacing w:after="0"/>
              <w:rPr>
                <w:sz w:val="9"/>
                <w:szCs w:val="9"/>
                <w:color w:val="auto"/>
              </w:rPr>
            </w:pPr>
          </w:p>
        </w:tc>
        <w:tc>
          <w:tcPr>
            <w:tcW w:w="340" w:type="dxa"/>
            <w:vAlign w:val="bottom"/>
            <w:tcBorders>
              <w:bottom w:val="single" w:sz="8" w:color="auto"/>
            </w:tcBorders>
          </w:tcPr>
          <w:p>
            <w:pPr>
              <w:jc w:val="right"/>
              <w:ind w:right="235"/>
              <w:spacing w:after="0" w:line="99"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0.20</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4"/>
                <w:szCs w:val="4"/>
                <w:color w:val="auto"/>
                <w:w w:val="87"/>
              </w:rPr>
              <w:t>$</w:t>
            </w:r>
          </w:p>
        </w:tc>
        <w:tc>
          <w:tcPr>
            <w:tcW w:w="5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0.34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9.45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20"/>
                <w:szCs w:val="20"/>
                <w:color w:val="auto"/>
              </w:rPr>
            </w:pPr>
            <w:r>
              <w:rPr>
                <w:rFonts w:ascii="Arial" w:cs="Arial" w:eastAsia="Arial" w:hAnsi="Arial"/>
                <w:sz w:val="9"/>
                <w:szCs w:val="9"/>
                <w:b w:val="1"/>
                <w:bCs w:val="1"/>
                <w:color w:val="auto"/>
              </w:rPr>
              <w:t>(1) Research and development reconciliation</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GAAP research and development</w:t>
            </w:r>
          </w:p>
        </w:tc>
        <w:tc>
          <w:tcPr>
            <w:tcW w:w="680" w:type="dxa"/>
            <w:vAlign w:val="bottom"/>
            <w:gridSpan w:val="2"/>
          </w:tcPr>
          <w:p>
            <w:pPr>
              <w:jc w:val="right"/>
              <w:ind w:right="254"/>
              <w:spacing w:after="0" w:line="99" w:lineRule="exact"/>
              <w:rPr>
                <w:sz w:val="20"/>
                <w:szCs w:val="20"/>
                <w:color w:val="auto"/>
              </w:rPr>
            </w:pPr>
            <w:r>
              <w:rPr>
                <w:rFonts w:ascii="Arial" w:cs="Arial" w:eastAsia="Arial" w:hAnsi="Arial"/>
                <w:sz w:val="9"/>
                <w:szCs w:val="9"/>
                <w:color w:val="auto"/>
              </w:rPr>
              <w:t>$</w:t>
            </w: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105,353</w:t>
            </w:r>
          </w:p>
        </w:tc>
        <w:tc>
          <w:tcPr>
            <w:tcW w:w="160" w:type="dxa"/>
            <w:vAlign w:val="bottom"/>
          </w:tcPr>
          <w:p>
            <w:pPr>
              <w:spacing w:after="0"/>
              <w:rPr>
                <w:sz w:val="8"/>
                <w:szCs w:val="8"/>
                <w:color w:val="auto"/>
              </w:rPr>
            </w:pPr>
          </w:p>
        </w:tc>
        <w:tc>
          <w:tcPr>
            <w:tcW w:w="340" w:type="dxa"/>
            <w:vAlign w:val="bottom"/>
          </w:tcPr>
          <w:p>
            <w:pPr>
              <w:jc w:val="right"/>
              <w:ind w:right="235"/>
              <w:spacing w:after="0" w:line="99" w:lineRule="exact"/>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100,158</w:t>
            </w:r>
          </w:p>
        </w:tc>
        <w:tc>
          <w:tcPr>
            <w:tcW w:w="20" w:type="dxa"/>
            <w:vAlign w:val="bottom"/>
          </w:tcPr>
          <w:p>
            <w:pPr>
              <w:spacing w:after="0"/>
              <w:rPr>
                <w:sz w:val="8"/>
                <w:szCs w:val="8"/>
                <w:color w:val="auto"/>
              </w:rPr>
            </w:pPr>
          </w:p>
        </w:tc>
        <w:tc>
          <w:tcPr>
            <w:tcW w:w="340" w:type="dxa"/>
            <w:vAlign w:val="bottom"/>
            <w:gridSpan w:val="2"/>
          </w:tcPr>
          <w:p>
            <w:pPr>
              <w:jc w:val="right"/>
              <w:ind w:right="174"/>
              <w:spacing w:after="0" w:line="99" w:lineRule="exact"/>
              <w:rPr>
                <w:sz w:val="20"/>
                <w:szCs w:val="20"/>
                <w:color w:val="auto"/>
              </w:rPr>
            </w:pPr>
            <w:r>
              <w:rPr>
                <w:rFonts w:ascii="Arial" w:cs="Arial" w:eastAsia="Arial" w:hAnsi="Arial"/>
                <w:sz w:val="9"/>
                <w:szCs w:val="9"/>
                <w:color w:val="auto"/>
              </w:rPr>
              <w:t>$</w:t>
            </w: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305,376</w:t>
            </w:r>
          </w:p>
        </w:tc>
        <w:tc>
          <w:tcPr>
            <w:tcW w:w="40" w:type="dxa"/>
            <w:vAlign w:val="bottom"/>
          </w:tcPr>
          <w:p>
            <w:pPr>
              <w:spacing w:after="0"/>
              <w:rPr>
                <w:sz w:val="8"/>
                <w:szCs w:val="8"/>
                <w:color w:val="auto"/>
              </w:rPr>
            </w:pPr>
          </w:p>
        </w:tc>
        <w:tc>
          <w:tcPr>
            <w:tcW w:w="1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322,121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20"/>
                <w:szCs w:val="20"/>
                <w:color w:val="auto"/>
              </w:rPr>
            </w:pPr>
            <w:r>
              <w:rPr>
                <w:rFonts w:ascii="Arial" w:cs="Arial" w:eastAsia="Arial" w:hAnsi="Arial"/>
                <w:sz w:val="9"/>
                <w:szCs w:val="9"/>
                <w:color w:val="auto"/>
              </w:rPr>
              <w:t>Less: share-based compensation expense</w:t>
            </w: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10,479</w:t>
            </w:r>
          </w:p>
        </w:tc>
        <w:tc>
          <w:tcPr>
            <w:tcW w:w="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9,133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32,155</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26,827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line="88" w:lineRule="exact"/>
              <w:rPr>
                <w:sz w:val="20"/>
                <w:szCs w:val="20"/>
                <w:color w:val="auto"/>
              </w:rPr>
            </w:pPr>
            <w:r>
              <w:rPr>
                <w:rFonts w:ascii="Arial" w:cs="Arial" w:eastAsia="Arial" w:hAnsi="Arial"/>
                <w:sz w:val="9"/>
                <w:szCs w:val="9"/>
                <w:b w:val="1"/>
                <w:bCs w:val="1"/>
                <w:color w:val="auto"/>
              </w:rPr>
              <w:t>Non-GAAP research and development</w:t>
            </w:r>
          </w:p>
        </w:tc>
        <w:tc>
          <w:tcPr>
            <w:tcW w:w="360" w:type="dxa"/>
            <w:vAlign w:val="bottom"/>
          </w:tcPr>
          <w:p>
            <w:pPr>
              <w:spacing w:after="0"/>
              <w:rPr>
                <w:sz w:val="8"/>
                <w:szCs w:val="8"/>
                <w:color w:val="auto"/>
              </w:rPr>
            </w:pPr>
          </w:p>
        </w:tc>
        <w:tc>
          <w:tcPr>
            <w:tcW w:w="320" w:type="dxa"/>
            <w:vAlign w:val="bottom"/>
            <w:tcBorders>
              <w:bottom w:val="single" w:sz="8" w:color="auto"/>
            </w:tcBorders>
          </w:tcPr>
          <w:p>
            <w:pPr>
              <w:jc w:val="right"/>
              <w:ind w:right="254"/>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94,874</w:t>
            </w:r>
          </w:p>
        </w:tc>
        <w:tc>
          <w:tcPr>
            <w:tcW w:w="160" w:type="dxa"/>
            <w:vAlign w:val="bottom"/>
          </w:tcPr>
          <w:p>
            <w:pPr>
              <w:spacing w:after="0"/>
              <w:rPr>
                <w:sz w:val="8"/>
                <w:szCs w:val="8"/>
                <w:color w:val="auto"/>
              </w:rPr>
            </w:pPr>
          </w:p>
        </w:tc>
        <w:tc>
          <w:tcPr>
            <w:tcW w:w="340" w:type="dxa"/>
            <w:vAlign w:val="bottom"/>
            <w:tcBorders>
              <w:bottom w:val="single" w:sz="8" w:color="auto"/>
            </w:tcBorders>
          </w:tcPr>
          <w:p>
            <w:pPr>
              <w:jc w:val="right"/>
              <w:ind w:right="235"/>
              <w:spacing w:after="0" w:line="88"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91,025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4"/>
                <w:szCs w:val="4"/>
                <w:color w:val="auto"/>
                <w:w w:val="87"/>
              </w:rPr>
              <w:t>$</w:t>
            </w:r>
          </w:p>
        </w:tc>
        <w:tc>
          <w:tcPr>
            <w:tcW w:w="5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273,221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295,294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20"/>
                <w:szCs w:val="20"/>
                <w:color w:val="auto"/>
              </w:rPr>
            </w:pPr>
            <w:r>
              <w:rPr>
                <w:rFonts w:ascii="Arial" w:cs="Arial" w:eastAsia="Arial" w:hAnsi="Arial"/>
                <w:sz w:val="9"/>
                <w:szCs w:val="9"/>
                <w:b w:val="1"/>
                <w:bCs w:val="1"/>
                <w:color w:val="auto"/>
              </w:rPr>
              <w:t>(2) Selling, general and administrative reconciliation</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line="99" w:lineRule="exact"/>
              <w:rPr>
                <w:sz w:val="20"/>
                <w:szCs w:val="20"/>
                <w:color w:val="auto"/>
              </w:rPr>
            </w:pPr>
            <w:r>
              <w:rPr>
                <w:rFonts w:ascii="Arial" w:cs="Arial" w:eastAsia="Arial" w:hAnsi="Arial"/>
                <w:sz w:val="9"/>
                <w:szCs w:val="9"/>
                <w:color w:val="auto"/>
              </w:rPr>
              <w:t>GAAP selling, general and administrative</w:t>
            </w:r>
          </w:p>
        </w:tc>
        <w:tc>
          <w:tcPr>
            <w:tcW w:w="680" w:type="dxa"/>
            <w:vAlign w:val="bottom"/>
            <w:gridSpan w:val="2"/>
          </w:tcPr>
          <w:p>
            <w:pPr>
              <w:jc w:val="right"/>
              <w:ind w:right="254"/>
              <w:spacing w:after="0" w:line="99" w:lineRule="exact"/>
              <w:rPr>
                <w:sz w:val="20"/>
                <w:szCs w:val="20"/>
                <w:color w:val="auto"/>
              </w:rPr>
            </w:pPr>
            <w:r>
              <w:rPr>
                <w:rFonts w:ascii="Arial" w:cs="Arial" w:eastAsia="Arial" w:hAnsi="Arial"/>
                <w:sz w:val="9"/>
                <w:szCs w:val="9"/>
                <w:color w:val="auto"/>
              </w:rPr>
              <w:t>$</w:t>
            </w: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80,081</w:t>
            </w:r>
          </w:p>
        </w:tc>
        <w:tc>
          <w:tcPr>
            <w:tcW w:w="160" w:type="dxa"/>
            <w:vAlign w:val="bottom"/>
          </w:tcPr>
          <w:p>
            <w:pPr>
              <w:spacing w:after="0"/>
              <w:rPr>
                <w:sz w:val="8"/>
                <w:szCs w:val="8"/>
                <w:color w:val="auto"/>
              </w:rPr>
            </w:pPr>
          </w:p>
        </w:tc>
        <w:tc>
          <w:tcPr>
            <w:tcW w:w="340" w:type="dxa"/>
            <w:vAlign w:val="bottom"/>
          </w:tcPr>
          <w:p>
            <w:pPr>
              <w:jc w:val="right"/>
              <w:ind w:right="235"/>
              <w:spacing w:after="0" w:line="99" w:lineRule="exact"/>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line="99" w:lineRule="exact"/>
              <w:rPr>
                <w:sz w:val="20"/>
                <w:szCs w:val="20"/>
                <w:color w:val="auto"/>
              </w:rPr>
            </w:pPr>
            <w:r>
              <w:rPr>
                <w:rFonts w:ascii="Arial" w:cs="Arial" w:eastAsia="Arial" w:hAnsi="Arial"/>
                <w:sz w:val="9"/>
                <w:szCs w:val="9"/>
                <w:color w:val="auto"/>
              </w:rPr>
              <w:t>84,046</w:t>
            </w:r>
          </w:p>
        </w:tc>
        <w:tc>
          <w:tcPr>
            <w:tcW w:w="20" w:type="dxa"/>
            <w:vAlign w:val="bottom"/>
          </w:tcPr>
          <w:p>
            <w:pPr>
              <w:spacing w:after="0"/>
              <w:rPr>
                <w:sz w:val="8"/>
                <w:szCs w:val="8"/>
                <w:color w:val="auto"/>
              </w:rPr>
            </w:pPr>
          </w:p>
        </w:tc>
        <w:tc>
          <w:tcPr>
            <w:tcW w:w="340" w:type="dxa"/>
            <w:vAlign w:val="bottom"/>
            <w:gridSpan w:val="2"/>
          </w:tcPr>
          <w:p>
            <w:pPr>
              <w:jc w:val="right"/>
              <w:ind w:right="174"/>
              <w:spacing w:after="0" w:line="99" w:lineRule="exact"/>
              <w:rPr>
                <w:sz w:val="20"/>
                <w:szCs w:val="20"/>
                <w:color w:val="auto"/>
              </w:rPr>
            </w:pPr>
            <w:r>
              <w:rPr>
                <w:rFonts w:ascii="Arial" w:cs="Arial" w:eastAsia="Arial" w:hAnsi="Arial"/>
                <w:sz w:val="9"/>
                <w:szCs w:val="9"/>
                <w:color w:val="auto"/>
              </w:rPr>
              <w:t>$</w:t>
            </w:r>
          </w:p>
        </w:tc>
        <w:tc>
          <w:tcPr>
            <w:tcW w:w="580" w:type="dxa"/>
            <w:vAlign w:val="bottom"/>
          </w:tcPr>
          <w:p>
            <w:pPr>
              <w:jc w:val="right"/>
              <w:spacing w:after="0" w:line="99" w:lineRule="exact"/>
              <w:rPr>
                <w:sz w:val="20"/>
                <w:szCs w:val="20"/>
                <w:color w:val="auto"/>
              </w:rPr>
            </w:pPr>
            <w:r>
              <w:rPr>
                <w:rFonts w:ascii="Arial" w:cs="Arial" w:eastAsia="Arial" w:hAnsi="Arial"/>
                <w:sz w:val="9"/>
                <w:szCs w:val="9"/>
                <w:color w:val="auto"/>
              </w:rPr>
              <w:t>246,894</w:t>
            </w:r>
          </w:p>
        </w:tc>
        <w:tc>
          <w:tcPr>
            <w:tcW w:w="40" w:type="dxa"/>
            <w:vAlign w:val="bottom"/>
          </w:tcPr>
          <w:p>
            <w:pPr>
              <w:spacing w:after="0"/>
              <w:rPr>
                <w:sz w:val="8"/>
                <w:szCs w:val="8"/>
                <w:color w:val="auto"/>
              </w:rPr>
            </w:pPr>
          </w:p>
        </w:tc>
        <w:tc>
          <w:tcPr>
            <w:tcW w:w="160" w:type="dxa"/>
            <w:vAlign w:val="bottom"/>
            <w:gridSpan w:val="2"/>
          </w:tcPr>
          <w:p>
            <w:pPr>
              <w:jc w:val="right"/>
              <w:spacing w:after="0" w:line="99" w:lineRule="exact"/>
              <w:rPr>
                <w:sz w:val="20"/>
                <w:szCs w:val="20"/>
                <w:color w:val="auto"/>
              </w:rPr>
            </w:pPr>
            <w:r>
              <w:rPr>
                <w:rFonts w:ascii="Arial" w:cs="Arial" w:eastAsia="Arial" w:hAnsi="Arial"/>
                <w:sz w:val="9"/>
                <w:szCs w:val="9"/>
                <w:color w:val="auto"/>
              </w:rPr>
              <w:t>$</w:t>
            </w:r>
          </w:p>
        </w:tc>
        <w:tc>
          <w:tcPr>
            <w:tcW w:w="740" w:type="dxa"/>
            <w:vAlign w:val="bottom"/>
          </w:tcPr>
          <w:p>
            <w:pPr>
              <w:jc w:val="right"/>
              <w:spacing w:after="0" w:line="99" w:lineRule="exact"/>
              <w:rPr>
                <w:sz w:val="20"/>
                <w:szCs w:val="20"/>
                <w:color w:val="auto"/>
              </w:rPr>
            </w:pPr>
            <w:r>
              <w:rPr>
                <w:rFonts w:ascii="Arial" w:cs="Arial" w:eastAsia="Arial" w:hAnsi="Arial"/>
                <w:sz w:val="9"/>
                <w:szCs w:val="9"/>
                <w:color w:val="auto"/>
              </w:rPr>
              <w:t>250,269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300" w:type="dxa"/>
            <w:vAlign w:val="bottom"/>
          </w:tcPr>
          <w:p>
            <w:pPr>
              <w:spacing w:after="0"/>
              <w:rPr>
                <w:sz w:val="20"/>
                <w:szCs w:val="20"/>
                <w:color w:val="auto"/>
              </w:rPr>
            </w:pPr>
            <w:r>
              <w:rPr>
                <w:rFonts w:ascii="Arial" w:cs="Arial" w:eastAsia="Arial" w:hAnsi="Arial"/>
                <w:sz w:val="9"/>
                <w:szCs w:val="9"/>
                <w:color w:val="auto"/>
              </w:rPr>
              <w:t>Less: share-based compensation expense</w:t>
            </w:r>
          </w:p>
        </w:tc>
        <w:tc>
          <w:tcPr>
            <w:tcW w:w="3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13,348</w:t>
            </w:r>
          </w:p>
        </w:tc>
        <w:tc>
          <w:tcPr>
            <w:tcW w:w="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10,293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38,384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29,202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4300" w:type="dxa"/>
            <w:vAlign w:val="bottom"/>
          </w:tcPr>
          <w:p>
            <w:pPr>
              <w:spacing w:after="0" w:line="88" w:lineRule="exact"/>
              <w:rPr>
                <w:sz w:val="20"/>
                <w:szCs w:val="20"/>
                <w:color w:val="auto"/>
              </w:rPr>
            </w:pPr>
            <w:r>
              <w:rPr>
                <w:rFonts w:ascii="Arial" w:cs="Arial" w:eastAsia="Arial" w:hAnsi="Arial"/>
                <w:sz w:val="9"/>
                <w:szCs w:val="9"/>
                <w:b w:val="1"/>
                <w:bCs w:val="1"/>
                <w:color w:val="auto"/>
              </w:rPr>
              <w:t>Non-GAAP selling, general and administrative</w:t>
            </w:r>
          </w:p>
        </w:tc>
        <w:tc>
          <w:tcPr>
            <w:tcW w:w="360" w:type="dxa"/>
            <w:vAlign w:val="bottom"/>
          </w:tcPr>
          <w:p>
            <w:pPr>
              <w:spacing w:after="0"/>
              <w:rPr>
                <w:sz w:val="8"/>
                <w:szCs w:val="8"/>
                <w:color w:val="auto"/>
              </w:rPr>
            </w:pPr>
          </w:p>
        </w:tc>
        <w:tc>
          <w:tcPr>
            <w:tcW w:w="320" w:type="dxa"/>
            <w:vAlign w:val="bottom"/>
            <w:tcBorders>
              <w:bottom w:val="single" w:sz="8" w:color="auto"/>
            </w:tcBorders>
          </w:tcPr>
          <w:p>
            <w:pPr>
              <w:jc w:val="right"/>
              <w:ind w:right="254"/>
              <w:spacing w:after="0"/>
              <w:rPr>
                <w:sz w:val="20"/>
                <w:szCs w:val="20"/>
                <w:color w:val="auto"/>
              </w:rPr>
            </w:pPr>
            <w:r>
              <w:rPr>
                <w:rFonts w:ascii="Arial" w:cs="Arial" w:eastAsia="Arial" w:hAnsi="Arial"/>
                <w:sz w:val="4"/>
                <w:szCs w:val="4"/>
                <w:color w:val="auto"/>
                <w:w w:val="87"/>
              </w:rPr>
              <w:t>$</w:t>
            </w:r>
          </w:p>
        </w:tc>
        <w:tc>
          <w:tcPr>
            <w:tcW w:w="7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66,733</w:t>
            </w:r>
          </w:p>
        </w:tc>
        <w:tc>
          <w:tcPr>
            <w:tcW w:w="160" w:type="dxa"/>
            <w:vAlign w:val="bottom"/>
          </w:tcPr>
          <w:p>
            <w:pPr>
              <w:spacing w:after="0"/>
              <w:rPr>
                <w:sz w:val="8"/>
                <w:szCs w:val="8"/>
                <w:color w:val="auto"/>
              </w:rPr>
            </w:pPr>
          </w:p>
        </w:tc>
        <w:tc>
          <w:tcPr>
            <w:tcW w:w="340" w:type="dxa"/>
            <w:vAlign w:val="bottom"/>
            <w:tcBorders>
              <w:bottom w:val="single" w:sz="8" w:color="auto"/>
            </w:tcBorders>
          </w:tcPr>
          <w:p>
            <w:pPr>
              <w:jc w:val="right"/>
              <w:ind w:right="235"/>
              <w:spacing w:after="0" w:line="88" w:lineRule="exact"/>
              <w:rPr>
                <w:sz w:val="20"/>
                <w:szCs w:val="20"/>
                <w:color w:val="auto"/>
              </w:rPr>
            </w:pPr>
            <w:r>
              <w:rPr>
                <w:rFonts w:ascii="Arial" w:cs="Arial" w:eastAsia="Arial" w:hAnsi="Arial"/>
                <w:sz w:val="9"/>
                <w:szCs w:val="9"/>
                <w:color w:val="auto"/>
                <w:w w:val="78"/>
              </w:rPr>
              <w:t>$</w:t>
            </w:r>
          </w:p>
        </w:tc>
        <w:tc>
          <w:tcPr>
            <w:tcW w:w="7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73,753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4"/>
                <w:szCs w:val="4"/>
                <w:color w:val="auto"/>
                <w:w w:val="87"/>
              </w:rPr>
              <w:t>$</w:t>
            </w:r>
          </w:p>
        </w:tc>
        <w:tc>
          <w:tcPr>
            <w:tcW w:w="5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208,510</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color w:val="auto"/>
              </w:rPr>
              <w:t>221,067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20" w:right="39" w:firstLine="2"/>
        <w:spacing w:after="0" w:line="261" w:lineRule="auto"/>
        <w:tabs>
          <w:tab w:leader="none" w:pos="89" w:val="left"/>
        </w:tabs>
        <w:numPr>
          <w:ilvl w:val="0"/>
          <w:numId w:val="6"/>
        </w:numPr>
        <w:rPr>
          <w:rFonts w:ascii="Arial" w:cs="Arial" w:eastAsia="Arial" w:hAnsi="Arial"/>
          <w:sz w:val="9"/>
          <w:szCs w:val="9"/>
          <w:color w:val="auto"/>
        </w:rPr>
      </w:pPr>
      <w:r>
        <w:rPr>
          <w:rFonts w:ascii="Arial" w:cs="Arial" w:eastAsia="Arial" w:hAnsi="Arial"/>
          <w:sz w:val="9"/>
          <w:szCs w:val="9"/>
          <w:color w:val="auto"/>
        </w:rPr>
        <w:t>In Q3 2026, the Company purchased the ST-920 asset from Sangamo Therapeutics, Inc. and paid an upfront cash consideration of $111.0 million which was recorded as Acquired in-process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359410</wp:posOffset>
            </wp:positionV>
            <wp:extent cx="56921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2"/>
          <w:szCs w:val="12"/>
          <w:b w:val="1"/>
          <w:bCs w:val="1"/>
          <w:color w:val="auto"/>
        </w:rPr>
        <w:t>PTC Therapeutics, Inc.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Summary Consolidated Balance Sheets</w:t>
      </w:r>
    </w:p>
    <w:tbl>
      <w:tblPr>
        <w:tblLayout w:type="fixed"/>
        <w:tblInd w:w="20" w:type="dxa"/>
        <w:tblCellMar>
          <w:top w:w="0" w:type="dxa"/>
          <w:left w:w="0" w:type="dxa"/>
          <w:bottom w:w="0" w:type="dxa"/>
          <w:right w:w="0" w:type="dxa"/>
        </w:tblCellMar>
      </w:tblPr>
      <w:tr>
        <w:trPr>
          <w:trHeight w:val="159"/>
        </w:trPr>
        <w:tc>
          <w:tcPr>
            <w:tcW w:w="6060" w:type="dxa"/>
            <w:vAlign w:val="bottom"/>
            <w:gridSpan w:val="2"/>
          </w:tcPr>
          <w:p>
            <w:pPr>
              <w:jc w:val="center"/>
              <w:ind w:left="2901"/>
              <w:spacing w:after="0"/>
              <w:rPr>
                <w:sz w:val="20"/>
                <w:szCs w:val="20"/>
                <w:color w:val="auto"/>
              </w:rPr>
            </w:pPr>
            <w:r>
              <w:rPr>
                <w:rFonts w:ascii="Arial" w:cs="Arial" w:eastAsia="Arial" w:hAnsi="Arial"/>
                <w:sz w:val="12"/>
                <w:szCs w:val="12"/>
                <w:color w:val="auto"/>
                <w:w w:val="99"/>
              </w:rPr>
              <w:t>(in thousands, except share data)</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440" w:type="dxa"/>
            <w:vAlign w:val="bottom"/>
          </w:tcPr>
          <w:p>
            <w:pPr>
              <w:spacing w:after="0"/>
              <w:rPr>
                <w:sz w:val="18"/>
                <w:szCs w:val="18"/>
                <w:color w:val="auto"/>
              </w:rPr>
            </w:pPr>
          </w:p>
        </w:tc>
        <w:tc>
          <w:tcPr>
            <w:tcW w:w="620" w:type="dxa"/>
            <w:vAlign w:val="bottom"/>
          </w:tcPr>
          <w:p>
            <w:pPr>
              <w:ind w:left="460"/>
              <w:spacing w:after="0"/>
              <w:rPr>
                <w:sz w:val="20"/>
                <w:szCs w:val="20"/>
                <w:color w:val="auto"/>
              </w:rPr>
            </w:pPr>
            <w:r>
              <w:rPr>
                <w:rFonts w:ascii="Arial" w:cs="Arial" w:eastAsia="Arial" w:hAnsi="Arial"/>
                <w:sz w:val="12"/>
                <w:szCs w:val="12"/>
                <w:color w:val="auto"/>
              </w:rPr>
              <w:t>​​​</w:t>
            </w:r>
          </w:p>
        </w:tc>
        <w:tc>
          <w:tcPr>
            <w:tcW w:w="1520" w:type="dxa"/>
            <w:vAlign w:val="bottom"/>
            <w:gridSpan w:val="4"/>
          </w:tcPr>
          <w:p>
            <w:pPr>
              <w:jc w:val="right"/>
              <w:ind w:right="1340"/>
              <w:spacing w:after="0"/>
              <w:rPr>
                <w:sz w:val="20"/>
                <w:szCs w:val="20"/>
                <w:color w:val="auto"/>
              </w:rPr>
            </w:pPr>
            <w:r>
              <w:rPr>
                <w:rFonts w:ascii="Arial" w:cs="Arial" w:eastAsia="Arial" w:hAnsi="Arial"/>
                <w:sz w:val="12"/>
                <w:szCs w:val="12"/>
                <w:color w:val="auto"/>
              </w:rPr>
              <w:t>​​​</w:t>
            </w:r>
          </w:p>
        </w:tc>
        <w:tc>
          <w:tcPr>
            <w:tcW w:w="1380" w:type="dxa"/>
            <w:vAlign w:val="bottom"/>
            <w:gridSpan w:val="3"/>
          </w:tcPr>
          <w:p>
            <w:pPr>
              <w:jc w:val="right"/>
              <w:ind w:right="98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gridSpan w:val="4"/>
            <w:vMerge w:val="restart"/>
          </w:tcPr>
          <w:p>
            <w:pPr>
              <w:jc w:val="right"/>
              <w:ind w:right="360"/>
              <w:spacing w:after="0"/>
              <w:rPr>
                <w:sz w:val="20"/>
                <w:szCs w:val="20"/>
                <w:color w:val="auto"/>
              </w:rPr>
            </w:pPr>
            <w:r>
              <w:rPr>
                <w:rFonts w:ascii="Arial" w:cs="Arial" w:eastAsia="Arial" w:hAnsi="Arial"/>
                <w:sz w:val="12"/>
                <w:szCs w:val="12"/>
                <w:b w:val="1"/>
                <w:bCs w:val="1"/>
                <w:color w:val="auto"/>
              </w:rPr>
              <w:t>September 30,</w:t>
            </w:r>
          </w:p>
        </w:tc>
        <w:tc>
          <w:tcPr>
            <w:tcW w:w="220" w:type="dxa"/>
            <w:vAlign w:val="bottom"/>
          </w:tcPr>
          <w:p>
            <w:pPr>
              <w:spacing w:after="0"/>
              <w:rPr>
                <w:sz w:val="11"/>
                <w:szCs w:val="11"/>
                <w:color w:val="auto"/>
              </w:rPr>
            </w:pPr>
          </w:p>
        </w:tc>
        <w:tc>
          <w:tcPr>
            <w:tcW w:w="116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December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320" w:type="dxa"/>
            <w:vAlign w:val="bottom"/>
            <w:gridSpan w:val="2"/>
          </w:tcPr>
          <w:p>
            <w:pPr>
              <w:jc w:val="right"/>
              <w:ind w:right="400"/>
              <w:spacing w:after="0" w:line="135" w:lineRule="exact"/>
              <w:rPr>
                <w:sz w:val="20"/>
                <w:szCs w:val="20"/>
                <w:color w:val="auto"/>
              </w:rPr>
            </w:pPr>
            <w:r>
              <w:rPr>
                <w:rFonts w:ascii="Arial" w:cs="Arial" w:eastAsia="Arial" w:hAnsi="Arial"/>
                <w:sz w:val="12"/>
                <w:szCs w:val="12"/>
                <w:b w:val="1"/>
                <w:bCs w:val="1"/>
                <w:color w:val="auto"/>
              </w:rPr>
              <w:t>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60" w:type="dxa"/>
            <w:vAlign w:val="bottom"/>
            <w:gridSpan w:val="2"/>
            <w:vMerge w:val="restart"/>
          </w:tcPr>
          <w:p>
            <w:pPr>
              <w:spacing w:after="0"/>
              <w:rPr>
                <w:sz w:val="20"/>
                <w:szCs w:val="20"/>
                <w:color w:val="auto"/>
              </w:rPr>
            </w:pPr>
            <w:r>
              <w:rPr>
                <w:rFonts w:ascii="Arial" w:cs="Arial" w:eastAsia="Arial" w:hAnsi="Arial"/>
                <w:sz w:val="12"/>
                <w:szCs w:val="12"/>
                <w:color w:val="auto"/>
              </w:rPr>
              <w:t>Cash, cash equivalents and marketable securities</w:t>
            </w:r>
          </w:p>
        </w:tc>
        <w:tc>
          <w:tcPr>
            <w:tcW w:w="1060" w:type="dxa"/>
            <w:vAlign w:val="bottom"/>
          </w:tcPr>
          <w:p>
            <w:pPr>
              <w:jc w:val="right"/>
              <w:ind w:right="120"/>
              <w:spacing w:after="0"/>
              <w:rPr>
                <w:sz w:val="20"/>
                <w:szCs w:val="20"/>
                <w:color w:val="auto"/>
              </w:rPr>
            </w:pPr>
            <w:r>
              <w:rPr>
                <w:rFonts w:ascii="Arial" w:cs="Arial" w:eastAsia="Arial" w:hAnsi="Arial"/>
                <w:sz w:val="12"/>
                <w:szCs w:val="12"/>
                <w:b w:val="1"/>
                <w:bCs w:val="1"/>
                <w:color w:val="auto"/>
              </w:rPr>
              <w:t>2026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60" w:type="dxa"/>
            <w:vAlign w:val="bottom"/>
            <w:gridSpan w:val="2"/>
            <w:vMerge w:val="continue"/>
          </w:tcPr>
          <w:p>
            <w:pPr>
              <w:spacing w:after="0"/>
              <w:rPr>
                <w:sz w:val="11"/>
                <w:szCs w:val="11"/>
                <w:color w:val="auto"/>
              </w:rPr>
            </w:pPr>
          </w:p>
        </w:tc>
        <w:tc>
          <w:tcPr>
            <w:tcW w:w="1500" w:type="dxa"/>
            <w:vAlign w:val="bottom"/>
            <w:tcBorders>
              <w:top w:val="single" w:sz="8" w:color="auto"/>
              <w:bottom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rPr>
              <w:t>$2,127,918</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$1,945,371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0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Total Assets</w:t>
            </w:r>
          </w:p>
        </w:tc>
        <w:tc>
          <w:tcPr>
            <w:tcW w:w="1500" w:type="dxa"/>
            <w:vAlign w:val="bottom"/>
            <w:tcBorders>
              <w:bottom w:val="single" w:sz="8" w:color="auto"/>
            </w:tcBorders>
            <w:gridSpan w:val="3"/>
          </w:tcPr>
          <w:p>
            <w:pPr>
              <w:jc w:val="right"/>
              <w:spacing w:after="0" w:line="124" w:lineRule="exact"/>
              <w:rPr>
                <w:sz w:val="20"/>
                <w:szCs w:val="20"/>
                <w:color w:val="auto"/>
              </w:rPr>
            </w:pPr>
            <w:r>
              <w:rPr>
                <w:rFonts w:ascii="Arial" w:cs="Arial" w:eastAsia="Arial" w:hAnsi="Arial"/>
                <w:sz w:val="12"/>
                <w:szCs w:val="12"/>
                <w:b w:val="1"/>
                <w:bCs w:val="1"/>
                <w:color w:val="auto"/>
              </w:rPr>
              <w:t>$3,207,715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$2,898,767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spacing w:after="0"/>
              <w:rPr>
                <w:sz w:val="20"/>
                <w:szCs w:val="20"/>
                <w:color w:val="auto"/>
              </w:rPr>
            </w:pPr>
            <w:r>
              <w:rPr>
                <w:rFonts w:ascii="Arial" w:cs="Arial" w:eastAsia="Arial" w:hAnsi="Arial"/>
                <w:sz w:val="12"/>
                <w:szCs w:val="12"/>
                <w:color w:val="auto"/>
              </w:rPr>
              <w:t>Total debt</w:t>
            </w:r>
          </w:p>
        </w:tc>
        <w:tc>
          <w:tcPr>
            <w:tcW w:w="1520" w:type="dxa"/>
            <w:vAlign w:val="bottom"/>
            <w:gridSpan w:val="4"/>
          </w:tcPr>
          <w:p>
            <w:pPr>
              <w:jc w:val="right"/>
              <w:ind w:right="20"/>
              <w:spacing w:after="0"/>
              <w:rPr>
                <w:sz w:val="20"/>
                <w:szCs w:val="20"/>
                <w:color w:val="auto"/>
              </w:rPr>
            </w:pPr>
            <w:r>
              <w:rPr>
                <w:rFonts w:ascii="Arial" w:cs="Arial" w:eastAsia="Arial" w:hAnsi="Arial"/>
                <w:sz w:val="12"/>
                <w:szCs w:val="12"/>
                <w:color w:val="auto"/>
              </w:rPr>
              <w:t>$536,268</w:t>
            </w:r>
          </w:p>
        </w:tc>
        <w:tc>
          <w:tcPr>
            <w:tcW w:w="1380" w:type="dxa"/>
            <w:vAlign w:val="bottom"/>
            <w:gridSpan w:val="3"/>
          </w:tcPr>
          <w:p>
            <w:pPr>
              <w:jc w:val="right"/>
              <w:ind w:right="60"/>
              <w:spacing w:after="0"/>
              <w:rPr>
                <w:sz w:val="20"/>
                <w:szCs w:val="20"/>
                <w:color w:val="auto"/>
              </w:rPr>
            </w:pPr>
            <w:r>
              <w:rPr>
                <w:rFonts w:ascii="Arial" w:cs="Arial" w:eastAsia="Arial" w:hAnsi="Arial"/>
                <w:sz w:val="12"/>
                <w:szCs w:val="12"/>
                <w:color w:val="auto"/>
              </w:rPr>
              <w:t>$286,631</w:t>
            </w:r>
          </w:p>
        </w:tc>
        <w:tc>
          <w:tcPr>
            <w:tcW w:w="0" w:type="dxa"/>
            <w:vAlign w:val="bottom"/>
          </w:tcPr>
          <w:p>
            <w:pPr>
              <w:spacing w:after="0"/>
              <w:rPr>
                <w:sz w:val="1"/>
                <w:szCs w:val="1"/>
                <w:color w:val="auto"/>
              </w:rPr>
            </w:pPr>
          </w:p>
        </w:tc>
      </w:tr>
      <w:tr>
        <w:trPr>
          <w:trHeight w:val="135"/>
        </w:trPr>
        <w:tc>
          <w:tcPr>
            <w:tcW w:w="6060" w:type="dxa"/>
            <w:vAlign w:val="bottom"/>
            <w:gridSpan w:val="2"/>
          </w:tcPr>
          <w:p>
            <w:pPr>
              <w:spacing w:after="0" w:line="135" w:lineRule="exact"/>
              <w:rPr>
                <w:sz w:val="20"/>
                <w:szCs w:val="20"/>
                <w:color w:val="auto"/>
              </w:rPr>
            </w:pPr>
            <w:r>
              <w:rPr>
                <w:rFonts w:ascii="Arial" w:cs="Arial" w:eastAsia="Arial" w:hAnsi="Arial"/>
                <w:sz w:val="12"/>
                <w:szCs w:val="12"/>
                <w:color w:val="auto"/>
              </w:rPr>
              <w:t>Total deferred revenue</w:t>
            </w:r>
          </w:p>
        </w:tc>
        <w:tc>
          <w:tcPr>
            <w:tcW w:w="1520" w:type="dxa"/>
            <w:vAlign w:val="bottom"/>
            <w:gridSpan w:val="4"/>
          </w:tcPr>
          <w:p>
            <w:pPr>
              <w:jc w:val="right"/>
              <w:ind w:right="20"/>
              <w:spacing w:after="0" w:line="135" w:lineRule="exact"/>
              <w:rPr>
                <w:sz w:val="20"/>
                <w:szCs w:val="20"/>
                <w:color w:val="auto"/>
              </w:rPr>
            </w:pPr>
            <w:r>
              <w:rPr>
                <w:rFonts w:ascii="Arial" w:cs="Arial" w:eastAsia="Arial" w:hAnsi="Arial"/>
                <w:sz w:val="12"/>
                <w:szCs w:val="12"/>
                <w:color w:val="auto"/>
              </w:rPr>
              <w:t>1,975</w:t>
            </w:r>
          </w:p>
        </w:tc>
        <w:tc>
          <w:tcPr>
            <w:tcW w:w="138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2,040</w:t>
            </w:r>
          </w:p>
        </w:tc>
        <w:tc>
          <w:tcPr>
            <w:tcW w:w="0" w:type="dxa"/>
            <w:vAlign w:val="bottom"/>
          </w:tcPr>
          <w:p>
            <w:pPr>
              <w:spacing w:after="0"/>
              <w:rPr>
                <w:sz w:val="1"/>
                <w:szCs w:val="1"/>
                <w:color w:val="auto"/>
              </w:rPr>
            </w:pPr>
          </w:p>
        </w:tc>
      </w:tr>
      <w:tr>
        <w:trPr>
          <w:trHeight w:val="148"/>
        </w:trPr>
        <w:tc>
          <w:tcPr>
            <w:tcW w:w="6060" w:type="dxa"/>
            <w:vAlign w:val="bottom"/>
            <w:gridSpan w:val="2"/>
          </w:tcPr>
          <w:p>
            <w:pPr>
              <w:spacing w:after="0"/>
              <w:rPr>
                <w:sz w:val="20"/>
                <w:szCs w:val="20"/>
                <w:color w:val="auto"/>
              </w:rPr>
            </w:pPr>
            <w:r>
              <w:rPr>
                <w:rFonts w:ascii="Arial" w:cs="Arial" w:eastAsia="Arial" w:hAnsi="Arial"/>
                <w:sz w:val="12"/>
                <w:szCs w:val="12"/>
                <w:color w:val="auto"/>
              </w:rPr>
              <w:t>Total liability for sale of future royalties</w:t>
            </w:r>
          </w:p>
        </w:tc>
        <w:tc>
          <w:tcPr>
            <w:tcW w:w="1520" w:type="dxa"/>
            <w:vAlign w:val="bottom"/>
            <w:gridSpan w:val="4"/>
          </w:tcPr>
          <w:p>
            <w:pPr>
              <w:jc w:val="right"/>
              <w:ind w:right="20"/>
              <w:spacing w:after="0"/>
              <w:rPr>
                <w:sz w:val="20"/>
                <w:szCs w:val="20"/>
                <w:color w:val="auto"/>
              </w:rPr>
            </w:pPr>
            <w:r>
              <w:rPr>
                <w:rFonts w:ascii="Arial" w:cs="Arial" w:eastAsia="Arial" w:hAnsi="Arial"/>
                <w:sz w:val="12"/>
                <w:szCs w:val="12"/>
                <w:color w:val="auto"/>
              </w:rPr>
              <w:t>2,305,603</w:t>
            </w:r>
          </w:p>
        </w:tc>
        <w:tc>
          <w:tcPr>
            <w:tcW w:w="1380" w:type="dxa"/>
            <w:vAlign w:val="bottom"/>
            <w:gridSpan w:val="3"/>
          </w:tcPr>
          <w:p>
            <w:pPr>
              <w:jc w:val="right"/>
              <w:ind w:right="60"/>
              <w:spacing w:after="0"/>
              <w:rPr>
                <w:sz w:val="20"/>
                <w:szCs w:val="20"/>
                <w:color w:val="auto"/>
              </w:rPr>
            </w:pPr>
            <w:r>
              <w:rPr>
                <w:rFonts w:ascii="Arial" w:cs="Arial" w:eastAsia="Arial" w:hAnsi="Arial"/>
                <w:sz w:val="12"/>
                <w:szCs w:val="12"/>
                <w:color w:val="auto"/>
              </w:rPr>
              <w:t>2,308,366</w:t>
            </w:r>
          </w:p>
        </w:tc>
        <w:tc>
          <w:tcPr>
            <w:tcW w:w="0" w:type="dxa"/>
            <w:vAlign w:val="bottom"/>
          </w:tcPr>
          <w:p>
            <w:pPr>
              <w:spacing w:after="0"/>
              <w:rPr>
                <w:sz w:val="1"/>
                <w:szCs w:val="1"/>
                <w:color w:val="auto"/>
              </w:rPr>
            </w:pPr>
          </w:p>
        </w:tc>
      </w:tr>
      <w:tr>
        <w:trPr>
          <w:trHeight w:val="131"/>
        </w:trPr>
        <w:tc>
          <w:tcPr>
            <w:tcW w:w="60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Total liabilities</w:t>
            </w:r>
          </w:p>
        </w:tc>
        <w:tc>
          <w:tcPr>
            <w:tcW w:w="150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Arial" w:cs="Arial" w:eastAsia="Arial" w:hAnsi="Arial"/>
                <w:sz w:val="12"/>
                <w:szCs w:val="12"/>
                <w:b w:val="1"/>
                <w:bCs w:val="1"/>
                <w:color w:val="auto"/>
              </w:rPr>
              <w:t>$3,398,924</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$3,104,080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6060" w:type="dxa"/>
            <w:vAlign w:val="bottom"/>
            <w:gridSpan w:val="2"/>
          </w:tcPr>
          <w:p>
            <w:pPr>
              <w:spacing w:after="0"/>
              <w:rPr>
                <w:sz w:val="20"/>
                <w:szCs w:val="20"/>
                <w:color w:val="auto"/>
              </w:rPr>
            </w:pPr>
            <w:r>
              <w:rPr>
                <w:rFonts w:ascii="Arial" w:cs="Arial" w:eastAsia="Arial" w:hAnsi="Arial"/>
                <w:sz w:val="12"/>
                <w:szCs w:val="12"/>
                <w:color w:val="auto"/>
              </w:rPr>
              <w:t>Total stockholders' deficit (83,535,767 and 81,474,366 common shares issued and outstanding at September</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060" w:type="dxa"/>
            <w:vAlign w:val="bottom"/>
            <w:gridSpan w:val="2"/>
          </w:tcPr>
          <w:p>
            <w:pPr>
              <w:spacing w:after="0"/>
              <w:rPr>
                <w:sz w:val="20"/>
                <w:szCs w:val="20"/>
                <w:color w:val="auto"/>
              </w:rPr>
            </w:pPr>
            <w:r>
              <w:rPr>
                <w:rFonts w:ascii="Arial" w:cs="Arial" w:eastAsia="Arial" w:hAnsi="Arial"/>
                <w:sz w:val="12"/>
                <w:szCs w:val="12"/>
                <w:color w:val="auto"/>
              </w:rPr>
              <w:t>30, 2026 and December 31, 2025, respectively)</w:t>
            </w:r>
          </w:p>
        </w:tc>
        <w:tc>
          <w:tcPr>
            <w:tcW w:w="1520" w:type="dxa"/>
            <w:vAlign w:val="bottom"/>
            <w:gridSpan w:val="4"/>
          </w:tcPr>
          <w:p>
            <w:pPr>
              <w:jc w:val="right"/>
              <w:ind w:right="20"/>
              <w:spacing w:after="0"/>
              <w:rPr>
                <w:sz w:val="20"/>
                <w:szCs w:val="20"/>
                <w:color w:val="auto"/>
              </w:rPr>
            </w:pPr>
            <w:r>
              <w:rPr>
                <w:rFonts w:ascii="Arial" w:cs="Arial" w:eastAsia="Arial" w:hAnsi="Arial"/>
                <w:sz w:val="12"/>
                <w:szCs w:val="12"/>
                <w:color w:val="auto"/>
              </w:rPr>
              <w:t>$(191,209)</w:t>
            </w:r>
          </w:p>
        </w:tc>
        <w:tc>
          <w:tcPr>
            <w:tcW w:w="1380" w:type="dxa"/>
            <w:vAlign w:val="bottom"/>
            <w:gridSpan w:val="3"/>
          </w:tcPr>
          <w:p>
            <w:pPr>
              <w:jc w:val="right"/>
              <w:ind w:right="60"/>
              <w:spacing w:after="0"/>
              <w:rPr>
                <w:sz w:val="20"/>
                <w:szCs w:val="20"/>
                <w:color w:val="auto"/>
              </w:rPr>
            </w:pPr>
            <w:r>
              <w:rPr>
                <w:rFonts w:ascii="Arial" w:cs="Arial" w:eastAsia="Arial" w:hAnsi="Arial"/>
                <w:sz w:val="12"/>
                <w:szCs w:val="12"/>
                <w:color w:val="auto"/>
              </w:rPr>
              <w:t>$(205,313)</w:t>
            </w:r>
          </w:p>
        </w:tc>
        <w:tc>
          <w:tcPr>
            <w:tcW w:w="0" w:type="dxa"/>
            <w:vAlign w:val="bottom"/>
          </w:tcPr>
          <w:p>
            <w:pPr>
              <w:spacing w:after="0"/>
              <w:rPr>
                <w:sz w:val="1"/>
                <w:szCs w:val="1"/>
                <w:color w:val="auto"/>
              </w:rPr>
            </w:pPr>
          </w:p>
        </w:tc>
      </w:tr>
      <w:tr>
        <w:trPr>
          <w:trHeight w:val="131"/>
        </w:trPr>
        <w:tc>
          <w:tcPr>
            <w:tcW w:w="60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Total liabilities and stockholders' deficit</w:t>
            </w:r>
          </w:p>
        </w:tc>
        <w:tc>
          <w:tcPr>
            <w:tcW w:w="150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Arial" w:cs="Arial" w:eastAsia="Arial" w:hAnsi="Arial"/>
                <w:sz w:val="12"/>
                <w:szCs w:val="12"/>
                <w:b w:val="1"/>
                <w:bCs w:val="1"/>
                <w:color w:val="auto"/>
              </w:rPr>
              <w:t>$3,207,715</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$2,898,767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9"/>
        </w:trPr>
        <w:tc>
          <w:tcPr>
            <w:tcW w:w="6060" w:type="dxa"/>
            <w:vAlign w:val="bottom"/>
            <w:gridSpan w:val="2"/>
          </w:tcPr>
          <w:p>
            <w:pPr>
              <w:ind w:left="2020"/>
              <w:spacing w:after="0"/>
              <w:rPr>
                <w:sz w:val="20"/>
                <w:szCs w:val="20"/>
                <w:color w:val="auto"/>
              </w:rPr>
            </w:pPr>
            <w:r>
              <w:rPr>
                <w:rFonts w:ascii="Arial" w:cs="Arial" w:eastAsia="Arial" w:hAnsi="Arial"/>
                <w:sz w:val="11"/>
                <w:szCs w:val="11"/>
                <w:b w:val="1"/>
                <w:bCs w:val="1"/>
                <w:color w:val="auto"/>
              </w:rPr>
              <w:t>PTC Therapeutics, Inc.</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580" w:type="dxa"/>
            <w:vAlign w:val="bottom"/>
            <w:gridSpan w:val="6"/>
          </w:tcPr>
          <w:p>
            <w:pPr>
              <w:jc w:val="center"/>
              <w:ind w:left="1341"/>
              <w:spacing w:after="0"/>
              <w:rPr>
                <w:sz w:val="20"/>
                <w:szCs w:val="20"/>
                <w:color w:val="auto"/>
              </w:rPr>
            </w:pPr>
            <w:r>
              <w:rPr>
                <w:rFonts w:ascii="Arial" w:cs="Arial" w:eastAsia="Arial" w:hAnsi="Arial"/>
                <w:sz w:val="11"/>
                <w:szCs w:val="11"/>
                <w:b w:val="1"/>
                <w:bCs w:val="1"/>
                <w:color w:val="auto"/>
                <w:w w:val="97"/>
              </w:rPr>
              <w:t>Reconciliation of GAAP to Non-GAAP Projected Full Year 2026 R&amp;D and SG&amp;A Expense</w:t>
            </w: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jc w:val="center"/>
              <w:ind w:left="2881"/>
              <w:spacing w:after="0"/>
              <w:rPr>
                <w:sz w:val="20"/>
                <w:szCs w:val="20"/>
                <w:color w:val="auto"/>
              </w:rPr>
            </w:pPr>
            <w:r>
              <w:rPr>
                <w:rFonts w:ascii="Arial" w:cs="Arial" w:eastAsia="Arial" w:hAnsi="Arial"/>
                <w:sz w:val="11"/>
                <w:szCs w:val="11"/>
                <w:color w:val="auto"/>
              </w:rPr>
              <w:t>(in millions)</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060" w:type="dxa"/>
            <w:vAlign w:val="bottom"/>
            <w:gridSpan w:val="2"/>
          </w:tcPr>
          <w:p>
            <w:pPr>
              <w:ind w:left="5320"/>
              <w:spacing w:after="0"/>
              <w:rPr>
                <w:sz w:val="20"/>
                <w:szCs w:val="20"/>
                <w:color w:val="auto"/>
              </w:rPr>
            </w:pPr>
            <w:r>
              <w:rPr>
                <w:rFonts w:ascii="Arial" w:cs="Arial" w:eastAsia="Arial" w:hAnsi="Arial"/>
                <w:sz w:val="12"/>
                <w:szCs w:val="12"/>
                <w:color w:val="auto"/>
              </w:rPr>
              <w:t>​​​</w:t>
            </w:r>
          </w:p>
        </w:tc>
        <w:tc>
          <w:tcPr>
            <w:tcW w:w="1060" w:type="dxa"/>
            <w:vAlign w:val="bottom"/>
          </w:tcPr>
          <w:p>
            <w:pPr>
              <w:spacing w:after="0"/>
              <w:rPr>
                <w:sz w:val="18"/>
                <w:szCs w:val="18"/>
                <w:color w:val="auto"/>
              </w:rPr>
            </w:pPr>
          </w:p>
        </w:tc>
        <w:tc>
          <w:tcPr>
            <w:tcW w:w="46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2"/>
                <w:szCs w:val="12"/>
                <w:b w:val="1"/>
                <w:bCs w:val="1"/>
                <w:color w:val="auto"/>
              </w:rPr>
              <w:t>Low End of Range</w:t>
            </w:r>
          </w:p>
        </w:tc>
        <w:tc>
          <w:tcPr>
            <w:tcW w:w="13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8"/>
              </w:rPr>
              <w:t>High End of Range</w:t>
            </w:r>
          </w:p>
        </w:tc>
        <w:tc>
          <w:tcPr>
            <w:tcW w:w="0" w:type="dxa"/>
            <w:vAlign w:val="bottom"/>
          </w:tcPr>
          <w:p>
            <w:pPr>
              <w:spacing w:after="0"/>
              <w:rPr>
                <w:sz w:val="1"/>
                <w:szCs w:val="1"/>
                <w:color w:val="auto"/>
              </w:rPr>
            </w:pPr>
          </w:p>
        </w:tc>
      </w:tr>
      <w:tr>
        <w:trPr>
          <w:trHeight w:val="135"/>
        </w:trPr>
        <w:tc>
          <w:tcPr>
            <w:tcW w:w="6060" w:type="dxa"/>
            <w:vAlign w:val="bottom"/>
            <w:gridSpan w:val="2"/>
          </w:tcPr>
          <w:p>
            <w:pPr>
              <w:spacing w:after="0" w:line="135" w:lineRule="exact"/>
              <w:rPr>
                <w:sz w:val="20"/>
                <w:szCs w:val="20"/>
                <w:color w:val="auto"/>
              </w:rPr>
            </w:pPr>
            <w:r>
              <w:rPr>
                <w:rFonts w:ascii="Arial" w:cs="Arial" w:eastAsia="Arial" w:hAnsi="Arial"/>
                <w:sz w:val="12"/>
                <w:szCs w:val="12"/>
                <w:color w:val="auto"/>
              </w:rPr>
              <w:t>Projected GAAP R&amp;D and SG&amp;A Expense</w:t>
            </w:r>
          </w:p>
        </w:tc>
        <w:tc>
          <w:tcPr>
            <w:tcW w:w="12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775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3"/>
          </w:tcPr>
          <w:p>
            <w:pPr>
              <w:jc w:val="right"/>
              <w:spacing w:after="0" w:line="135" w:lineRule="exact"/>
              <w:rPr>
                <w:sz w:val="20"/>
                <w:szCs w:val="20"/>
                <w:color w:val="auto"/>
              </w:rPr>
            </w:pPr>
            <w:r>
              <w:rPr>
                <w:rFonts w:ascii="Arial" w:cs="Arial" w:eastAsia="Arial" w:hAnsi="Arial"/>
                <w:sz w:val="12"/>
                <w:szCs w:val="12"/>
                <w:color w:val="auto"/>
              </w:rPr>
              <w:t>$815</w:t>
            </w:r>
          </w:p>
        </w:tc>
        <w:tc>
          <w:tcPr>
            <w:tcW w:w="0" w:type="dxa"/>
            <w:vAlign w:val="bottom"/>
          </w:tcPr>
          <w:p>
            <w:pPr>
              <w:spacing w:after="0"/>
              <w:rPr>
                <w:sz w:val="1"/>
                <w:szCs w:val="1"/>
                <w:color w:val="auto"/>
              </w:rPr>
            </w:pPr>
          </w:p>
        </w:tc>
      </w:tr>
      <w:tr>
        <w:trPr>
          <w:trHeight w:val="148"/>
        </w:trPr>
        <w:tc>
          <w:tcPr>
            <w:tcW w:w="6060" w:type="dxa"/>
            <w:vAlign w:val="bottom"/>
            <w:gridSpan w:val="2"/>
          </w:tcPr>
          <w:p>
            <w:pPr>
              <w:spacing w:after="0"/>
              <w:rPr>
                <w:sz w:val="20"/>
                <w:szCs w:val="20"/>
                <w:color w:val="auto"/>
              </w:rPr>
            </w:pPr>
            <w:r>
              <w:rPr>
                <w:rFonts w:ascii="Arial" w:cs="Arial" w:eastAsia="Arial" w:hAnsi="Arial"/>
                <w:sz w:val="12"/>
                <w:szCs w:val="12"/>
                <w:color w:val="auto"/>
              </w:rPr>
              <w:t>Less: projected non-cash, stock-based compensation expense</w:t>
            </w: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95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124"/>
        </w:trPr>
        <w:tc>
          <w:tcPr>
            <w:tcW w:w="5440" w:type="dxa"/>
            <w:vAlign w:val="bottom"/>
          </w:tcPr>
          <w:p>
            <w:pPr>
              <w:spacing w:after="0" w:line="124" w:lineRule="exact"/>
              <w:rPr>
                <w:sz w:val="20"/>
                <w:szCs w:val="20"/>
                <w:color w:val="auto"/>
              </w:rPr>
            </w:pPr>
            <w:r>
              <w:rPr>
                <w:rFonts w:ascii="Arial" w:cs="Arial" w:eastAsia="Arial" w:hAnsi="Arial"/>
                <w:sz w:val="12"/>
                <w:szCs w:val="12"/>
                <w:b w:val="1"/>
                <w:bCs w:val="1"/>
                <w:color w:val="auto"/>
              </w:rPr>
              <w:t>Projected non-GAAP R&amp;D and SG&amp;A expense</w:t>
            </w:r>
          </w:p>
        </w:tc>
        <w:tc>
          <w:tcPr>
            <w:tcW w:w="62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$680</w:t>
            </w:r>
          </w:p>
        </w:tc>
        <w:tc>
          <w:tcPr>
            <w:tcW w:w="20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38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Arial" w:cs="Arial" w:eastAsia="Arial" w:hAnsi="Arial"/>
                <w:sz w:val="12"/>
                <w:szCs w:val="12"/>
                <w:color w:val="auto"/>
              </w:rPr>
              <w:t>$720</w:t>
            </w:r>
          </w:p>
        </w:tc>
        <w:tc>
          <w:tcPr>
            <w:tcW w:w="0" w:type="dxa"/>
            <w:vAlign w:val="bottom"/>
          </w:tcPr>
          <w:p>
            <w:pPr>
              <w:spacing w:after="0"/>
              <w:rPr>
                <w:sz w:val="1"/>
                <w:szCs w:val="1"/>
                <w:color w:val="auto"/>
              </w:rPr>
            </w:pPr>
          </w:p>
        </w:tc>
      </w:tr>
      <w:tr>
        <w:trPr>
          <w:trHeight w:val="779"/>
        </w:trPr>
        <w:tc>
          <w:tcPr>
            <w:tcW w:w="5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8" w:right="1440" w:bottom="1440" w:gutter="0" w:footer="0" w:header="0"/>
        </w:sectPr>
      </w:pPr>
    </w:p>
    <w:bookmarkStart w:id="7" w:name="page8"/>
    <w:bookmarkEnd w:id="7"/>
    <w:p>
      <w:pPr>
        <w:ind w:left="20"/>
        <w:spacing w:after="0"/>
        <w:rPr>
          <w:sz w:val="20"/>
          <w:szCs w:val="20"/>
          <w:color w:val="auto"/>
        </w:rPr>
      </w:pPr>
      <w:r>
        <w:rPr>
          <w:rFonts w:ascii="Arial" w:cs="Arial" w:eastAsia="Arial" w:hAnsi="Arial"/>
          <w:sz w:val="12"/>
          <w:szCs w:val="12"/>
          <w:b w:val="1"/>
          <w:bCs w:val="1"/>
          <w:color w:val="auto"/>
        </w:rPr>
        <w:t>Acronyms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2"/>
          <w:szCs w:val="12"/>
          <w:color w:val="auto"/>
        </w:rPr>
        <w:t>AAV: adeno-associated virus</w:t>
      </w:r>
    </w:p>
    <w:p>
      <w:pPr>
        <w:ind w:left="20"/>
        <w:spacing w:after="0" w:line="234" w:lineRule="auto"/>
        <w:rPr>
          <w:sz w:val="20"/>
          <w:szCs w:val="20"/>
          <w:color w:val="auto"/>
        </w:rPr>
      </w:pPr>
      <w:r>
        <w:rPr>
          <w:rFonts w:ascii="Arial" w:cs="Arial" w:eastAsia="Arial" w:hAnsi="Arial"/>
          <w:sz w:val="12"/>
          <w:szCs w:val="12"/>
          <w:color w:val="auto"/>
        </w:rPr>
        <w:t>BLA: Biologics License Application</w:t>
      </w:r>
    </w:p>
    <w:p>
      <w:pPr>
        <w:ind w:left="20"/>
        <w:spacing w:after="0" w:line="235" w:lineRule="auto"/>
        <w:rPr>
          <w:sz w:val="20"/>
          <w:szCs w:val="20"/>
          <w:color w:val="auto"/>
        </w:rPr>
      </w:pPr>
      <w:r>
        <w:rPr>
          <w:rFonts w:ascii="Arial" w:cs="Arial" w:eastAsia="Arial" w:hAnsi="Arial"/>
          <w:sz w:val="12"/>
          <w:szCs w:val="12"/>
          <w:color w:val="auto"/>
        </w:rPr>
        <w:t>CHF: Confoederatio Helvetica Francs (Swiss francs)</w:t>
      </w:r>
    </w:p>
    <w:p>
      <w:pPr>
        <w:ind w:left="20"/>
        <w:spacing w:after="0" w:line="235" w:lineRule="auto"/>
        <w:rPr>
          <w:sz w:val="20"/>
          <w:szCs w:val="20"/>
          <w:color w:val="auto"/>
        </w:rPr>
      </w:pPr>
      <w:r>
        <w:rPr>
          <w:rFonts w:ascii="Arial" w:cs="Arial" w:eastAsia="Arial" w:hAnsi="Arial"/>
          <w:sz w:val="12"/>
          <w:szCs w:val="12"/>
          <w:color w:val="auto"/>
        </w:rPr>
        <w:t>DHODH: dihydroorotate dehydrogenase</w:t>
      </w:r>
    </w:p>
    <w:p>
      <w:pPr>
        <w:ind w:left="20"/>
        <w:spacing w:after="0" w:line="235" w:lineRule="auto"/>
        <w:rPr>
          <w:sz w:val="20"/>
          <w:szCs w:val="20"/>
          <w:color w:val="auto"/>
        </w:rPr>
      </w:pPr>
      <w:r>
        <w:rPr>
          <w:rFonts w:ascii="Arial" w:cs="Arial" w:eastAsia="Arial" w:hAnsi="Arial"/>
          <w:sz w:val="12"/>
          <w:szCs w:val="12"/>
          <w:color w:val="auto"/>
        </w:rPr>
        <w:t>FA: Friedreich’s ataxia</w:t>
      </w:r>
    </w:p>
    <w:p>
      <w:pPr>
        <w:ind w:left="20"/>
        <w:spacing w:after="0" w:line="234" w:lineRule="auto"/>
        <w:rPr>
          <w:sz w:val="20"/>
          <w:szCs w:val="20"/>
          <w:color w:val="auto"/>
        </w:rPr>
      </w:pPr>
      <w:r>
        <w:rPr>
          <w:rFonts w:ascii="Arial" w:cs="Arial" w:eastAsia="Arial" w:hAnsi="Arial"/>
          <w:sz w:val="12"/>
          <w:szCs w:val="12"/>
          <w:color w:val="auto"/>
        </w:rPr>
        <w:t>FDA: US Food and Drug Administration</w:t>
      </w:r>
    </w:p>
    <w:p>
      <w:pPr>
        <w:ind w:left="20"/>
        <w:spacing w:after="0" w:line="235" w:lineRule="auto"/>
        <w:rPr>
          <w:sz w:val="20"/>
          <w:szCs w:val="20"/>
          <w:color w:val="auto"/>
        </w:rPr>
      </w:pPr>
      <w:r>
        <w:rPr>
          <w:rFonts w:ascii="Arial" w:cs="Arial" w:eastAsia="Arial" w:hAnsi="Arial"/>
          <w:sz w:val="12"/>
          <w:szCs w:val="12"/>
          <w:color w:val="auto"/>
        </w:rPr>
        <w:t>GAAP: Generally Accepted Accounting Principles</w:t>
      </w:r>
    </w:p>
    <w:p>
      <w:pPr>
        <w:ind w:left="20"/>
        <w:spacing w:after="0" w:line="235" w:lineRule="auto"/>
        <w:rPr>
          <w:sz w:val="20"/>
          <w:szCs w:val="20"/>
          <w:color w:val="auto"/>
        </w:rPr>
      </w:pPr>
      <w:r>
        <w:rPr>
          <w:rFonts w:ascii="Arial" w:cs="Arial" w:eastAsia="Arial" w:hAnsi="Arial"/>
          <w:sz w:val="12"/>
          <w:szCs w:val="12"/>
          <w:color w:val="auto"/>
        </w:rPr>
        <w:t>HD: Huntington’s disease</w:t>
      </w:r>
    </w:p>
    <w:p>
      <w:pPr>
        <w:ind w:left="20"/>
        <w:spacing w:after="0" w:line="235" w:lineRule="auto"/>
        <w:rPr>
          <w:sz w:val="20"/>
          <w:szCs w:val="20"/>
          <w:color w:val="auto"/>
        </w:rPr>
      </w:pPr>
      <w:r>
        <w:rPr>
          <w:rFonts w:ascii="Arial" w:cs="Arial" w:eastAsia="Arial" w:hAnsi="Arial"/>
          <w:sz w:val="12"/>
          <w:szCs w:val="12"/>
          <w:color w:val="auto"/>
        </w:rPr>
        <w:t>MSH3: MutS Homolog 3 (human gene)</w:t>
      </w:r>
    </w:p>
    <w:p>
      <w:pPr>
        <w:ind w:left="20"/>
        <w:spacing w:after="0" w:line="235" w:lineRule="auto"/>
        <w:rPr>
          <w:sz w:val="20"/>
          <w:szCs w:val="20"/>
          <w:color w:val="auto"/>
        </w:rPr>
      </w:pPr>
      <w:r>
        <w:rPr>
          <w:rFonts w:ascii="Arial" w:cs="Arial" w:eastAsia="Arial" w:hAnsi="Arial"/>
          <w:sz w:val="12"/>
          <w:szCs w:val="12"/>
          <w:color w:val="auto"/>
        </w:rPr>
        <w:t>NDA: New Drug Application</w:t>
      </w:r>
    </w:p>
    <w:p>
      <w:pPr>
        <w:ind w:left="20"/>
        <w:spacing w:after="0" w:line="234" w:lineRule="auto"/>
        <w:rPr>
          <w:sz w:val="20"/>
          <w:szCs w:val="20"/>
          <w:color w:val="auto"/>
        </w:rPr>
      </w:pPr>
      <w:r>
        <w:rPr>
          <w:rFonts w:ascii="Arial" w:cs="Arial" w:eastAsia="Arial" w:hAnsi="Arial"/>
          <w:sz w:val="12"/>
          <w:szCs w:val="12"/>
          <w:color w:val="auto"/>
        </w:rPr>
        <w:t>NLRP3: NOD-, LRR- and pyrin domain-containing 3 (multi-protein complex)</w:t>
      </w:r>
    </w:p>
    <w:p>
      <w:pPr>
        <w:ind w:left="20"/>
        <w:spacing w:after="0" w:line="235" w:lineRule="auto"/>
        <w:rPr>
          <w:sz w:val="20"/>
          <w:szCs w:val="20"/>
          <w:color w:val="auto"/>
        </w:rPr>
      </w:pPr>
      <w:r>
        <w:rPr>
          <w:rFonts w:ascii="Arial" w:cs="Arial" w:eastAsia="Arial" w:hAnsi="Arial"/>
          <w:sz w:val="12"/>
          <w:szCs w:val="12"/>
          <w:color w:val="auto"/>
        </w:rPr>
        <w:t>R&amp;D: Research and Development</w:t>
      </w:r>
    </w:p>
    <w:p>
      <w:pPr>
        <w:ind w:left="20"/>
        <w:spacing w:after="0"/>
        <w:rPr>
          <w:sz w:val="20"/>
          <w:szCs w:val="20"/>
          <w:color w:val="auto"/>
        </w:rPr>
      </w:pPr>
      <w:r>
        <w:rPr>
          <w:rFonts w:ascii="Arial" w:cs="Arial" w:eastAsia="Arial" w:hAnsi="Arial"/>
          <w:sz w:val="12"/>
          <w:szCs w:val="12"/>
          <w:color w:val="auto"/>
        </w:rPr>
        <w:t>SG&amp;A: Selling, General, and Administrative</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Today's Conference Call and Webcast Reminder</w:t>
      </w:r>
    </w:p>
    <w:p>
      <w:pPr>
        <w:spacing w:after="0" w:line="9" w:lineRule="exact"/>
        <w:rPr>
          <w:sz w:val="20"/>
          <w:szCs w:val="20"/>
          <w:color w:val="auto"/>
        </w:rPr>
      </w:pPr>
    </w:p>
    <w:p>
      <w:pPr>
        <w:ind w:left="20" w:right="179"/>
        <w:spacing w:after="0" w:line="249" w:lineRule="auto"/>
        <w:rPr>
          <w:sz w:val="20"/>
          <w:szCs w:val="20"/>
          <w:color w:val="auto"/>
        </w:rPr>
      </w:pPr>
      <w:r>
        <w:rPr>
          <w:rFonts w:ascii="Arial" w:cs="Arial" w:eastAsia="Arial" w:hAnsi="Arial"/>
          <w:sz w:val="12"/>
          <w:szCs w:val="12"/>
          <w:color w:val="auto"/>
        </w:rPr>
        <w:t>To access the live webcast, please visit the “Events &amp; Presentations” page within the Investors section of the PTC website. A replay of the webcast will be available on the PTC website for 30 days following the event. To participate via phone, please register in advance here to receive dial-in details.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About PTC Therapeutics, Inc.</w:t>
      </w:r>
    </w:p>
    <w:p>
      <w:pPr>
        <w:spacing w:after="0" w:line="9" w:lineRule="exact"/>
        <w:rPr>
          <w:sz w:val="20"/>
          <w:szCs w:val="20"/>
          <w:color w:val="auto"/>
        </w:rPr>
      </w:pPr>
    </w:p>
    <w:p>
      <w:pPr>
        <w:ind w:left="20" w:right="59"/>
        <w:spacing w:after="0" w:line="239" w:lineRule="auto"/>
        <w:rPr>
          <w:sz w:val="20"/>
          <w:szCs w:val="20"/>
          <w:color w:val="auto"/>
        </w:rPr>
      </w:pPr>
      <w:r>
        <w:rPr>
          <w:rFonts w:ascii="Arial" w:cs="Arial" w:eastAsia="Arial" w:hAnsi="Arial"/>
          <w:sz w:val="12"/>
          <w:szCs w:val="12"/>
          <w:color w:val="auto"/>
        </w:rPr>
        <w:t>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The company's strategy is to leverage its scientific expertise and global commercial infrastructure to optimize value for patients and other stakeholders. To learn more about PTC, please visit www.ptcbio.com and follow on LinkedIn, X, Facebook and Instagram.</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more information please contact: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Investors: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Ellen Cavaleri</w:t>
      </w:r>
    </w:p>
    <w:p>
      <w:pPr>
        <w:ind w:left="20"/>
        <w:spacing w:after="0" w:line="234" w:lineRule="auto"/>
        <w:rPr>
          <w:sz w:val="20"/>
          <w:szCs w:val="20"/>
          <w:color w:val="auto"/>
        </w:rPr>
      </w:pPr>
      <w:r>
        <w:rPr>
          <w:rFonts w:ascii="Arial" w:cs="Arial" w:eastAsia="Arial" w:hAnsi="Arial"/>
          <w:sz w:val="12"/>
          <w:szCs w:val="12"/>
          <w:color w:val="auto"/>
        </w:rPr>
        <w:t>+1 (615) 618-6228</w:t>
      </w:r>
    </w:p>
    <w:p>
      <w:pPr>
        <w:ind w:left="20"/>
        <w:spacing w:after="0"/>
        <w:rPr>
          <w:sz w:val="20"/>
          <w:szCs w:val="20"/>
          <w:color w:val="auto"/>
        </w:rPr>
      </w:pPr>
      <w:r>
        <w:rPr>
          <w:rFonts w:ascii="Arial" w:cs="Arial" w:eastAsia="Arial" w:hAnsi="Arial"/>
          <w:sz w:val="12"/>
          <w:szCs w:val="12"/>
          <w:color w:val="auto"/>
        </w:rPr>
        <w:t>ecavaleri@ptcbio.com</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Media:</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Jeanine Clemente</w:t>
      </w:r>
    </w:p>
    <w:p>
      <w:pPr>
        <w:ind w:left="20"/>
        <w:spacing w:after="0" w:line="234" w:lineRule="auto"/>
        <w:rPr>
          <w:sz w:val="20"/>
          <w:szCs w:val="20"/>
          <w:color w:val="auto"/>
        </w:rPr>
      </w:pPr>
      <w:r>
        <w:rPr>
          <w:rFonts w:ascii="Arial" w:cs="Arial" w:eastAsia="Arial" w:hAnsi="Arial"/>
          <w:sz w:val="12"/>
          <w:szCs w:val="12"/>
          <w:color w:val="auto"/>
        </w:rPr>
        <w:t>+1 (908) 912-9406</w:t>
      </w:r>
    </w:p>
    <w:p>
      <w:pPr>
        <w:ind w:left="20"/>
        <w:spacing w:after="0"/>
        <w:rPr>
          <w:sz w:val="20"/>
          <w:szCs w:val="20"/>
          <w:color w:val="auto"/>
        </w:rPr>
      </w:pPr>
      <w:r>
        <w:rPr>
          <w:rFonts w:ascii="Arial" w:cs="Arial" w:eastAsia="Arial" w:hAnsi="Arial"/>
          <w:sz w:val="12"/>
          <w:szCs w:val="12"/>
          <w:color w:val="auto"/>
        </w:rPr>
        <w:t>jclemente@ptcbio.com</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Forward-Looking Statements</w:t>
      </w:r>
    </w:p>
    <w:p>
      <w:pPr>
        <w:spacing w:after="0" w:line="9" w:lineRule="exact"/>
        <w:rPr>
          <w:sz w:val="20"/>
          <w:szCs w:val="20"/>
          <w:color w:val="auto"/>
        </w:rPr>
      </w:pPr>
    </w:p>
    <w:p>
      <w:pPr>
        <w:ind w:left="20" w:right="139"/>
        <w:spacing w:after="0" w:line="237"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All statements contained in this release, other than statements of historic fact, are forward-looking statements, including the information provided under the heading “PTC Updates Full-Year 2026 Financial Guidance”, including with respect to (i) 2026 total product revenue guidance and total revenue guidance and (ii) 2026 GAAP and non-GAAP R&amp;D and SG&amp;A expense guidance, and statements regarding: the future expectations, plans and prospects for PTC, including with respect to the expected timing of clinical trials and studies, availability of data, regulatory submissions and responses, meetings with regulatory agencies, commercialization and other matters with respect to its products and product candidates; PTC's strategy, future operations, future financial position, future revenues, projected costs; and the objectives of management. Other forward-looking statements may be identified by the words, "guidance," "plan," "anticipate," "believe," "estimate," "expect," "intend," "may," "target," "potential," "will," "would," "could," "should," "continue," "aim," and similar expressions.</w:t>
      </w:r>
    </w:p>
    <w:p>
      <w:pPr>
        <w:spacing w:after="0" w:line="113" w:lineRule="exact"/>
        <w:rPr>
          <w:sz w:val="20"/>
          <w:szCs w:val="20"/>
          <w:color w:val="auto"/>
        </w:rPr>
      </w:pPr>
    </w:p>
    <w:p>
      <w:pPr>
        <w:ind w:left="20" w:right="59"/>
        <w:spacing w:after="0" w:line="270" w:lineRule="auto"/>
        <w:rPr>
          <w:sz w:val="20"/>
          <w:szCs w:val="20"/>
          <w:color w:val="auto"/>
        </w:rPr>
      </w:pPr>
      <w:r>
        <w:rPr>
          <w:rFonts w:ascii="Arial" w:cs="Arial" w:eastAsia="Arial" w:hAnsi="Arial"/>
          <w:sz w:val="12"/>
          <w:szCs w:val="12"/>
          <w:color w:val="auto"/>
        </w:rPr>
        <w:t>PTC's actual results, performance or achievements could differ materially from those expressed or implied by forward-looking statements it makes as a result of a variety of risks and uncertainties, including those related to: the outcome of pricing, coverage and reimbursement negotiations with third party payors for PTC's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210820</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8" w:name="page9"/>
    <w:bookmarkEnd w:id="8"/>
    <w:p>
      <w:pPr>
        <w:ind w:left="20" w:right="39"/>
        <w:spacing w:after="0" w:line="237" w:lineRule="auto"/>
        <w:rPr>
          <w:sz w:val="20"/>
          <w:szCs w:val="20"/>
          <w:color w:val="auto"/>
        </w:rPr>
      </w:pPr>
      <w:r>
        <w:rPr>
          <w:rFonts w:ascii="Arial" w:cs="Arial" w:eastAsia="Arial" w:hAnsi="Arial"/>
          <w:sz w:val="12"/>
          <w:szCs w:val="12"/>
          <w:color w:val="auto"/>
        </w:rPr>
        <w:t>products or product candidates that PTC commercializes or may commercialize in the future; expectations with respect to Sephience, including commercialization and the potential achievement of sales milestones and contingent payments that PTC may be obligated to make; PTC's ability to maintain its marketing authorization of Translarna for the treatment of nmDMD in geographies in which it has been approved and the effect of the European Commission's adoption of the negative opinion from the Committee for Medicinal Products for Human Use (CHMP) on Translarna and the withdrawal of the Translarna NDA in the US on other regulatory bodies; expectations with respect to PTC's license and collaboration agreement with Novartis Pharmaceuticals Corporation for votoplam for the treatment of Huntington's disease including its right to receive development, regulatory and sales milestones, profit sharing and royalty payments from Novartis, the design and expected timing of clinical trials and studies, the availability of data, and regulatory submissions and responses, including potential accelerated approval; expectations with respect to ST-920, including the expected timing of regulatory submissions and potential approvals, and the potential achievement of regulatory milestones and contingent payments PTC may be obligated to make; expectations with respect to Upstaza/Kebilidi, including commercialization, manufacturing capabilities, and the potential achievement of sales milestones and contingent payments that PTC may be obligated to make; expectations with respect to vatiquinone, including with respect to the design and expected timing of clinical trials and studies, the availability of data, and regulatory submissions and responses and potential approvals and other matters; expectations with respect to the commercialization of Evrysdi under PTC's SMA collaboration; expectations with respect to the commercialization of Tegsedi and Waylivra; expectations regarding PTC's product candidates, including the timing of clinical trials and studies; significant business effects, including the effects of industry, market, economic, political or regulatory conditions; changes in tax and other laws, regulations, rates and policies; the eligible patient base and commercial potential of PTC's products and product candidates; PTC's scientific approach and general development progress; PTC's ability to satisfy its obligations under the terms of its lease agreements; the sufficiency of PTC's cash resources and its ability to obtain adequate financing in the future for its foreseeable and unforeseeable operating expenses and capital expenditures; and the factors discussed in the "Risk Factors" section of PTC's Annual Report on Form 10-K, as well as any updates to these risk factors filed from time to time in PTC's other filings with the SEC. You are urged to carefully consider all such factors.</w:t>
      </w:r>
    </w:p>
    <w:p>
      <w:pPr>
        <w:spacing w:after="0" w:line="112" w:lineRule="exact"/>
        <w:rPr>
          <w:sz w:val="20"/>
          <w:szCs w:val="20"/>
          <w:color w:val="auto"/>
        </w:rPr>
      </w:pPr>
    </w:p>
    <w:p>
      <w:pPr>
        <w:ind w:left="20" w:right="79"/>
        <w:spacing w:after="0" w:line="252" w:lineRule="auto"/>
        <w:rPr>
          <w:sz w:val="20"/>
          <w:szCs w:val="20"/>
          <w:color w:val="auto"/>
        </w:rPr>
      </w:pPr>
      <w:r>
        <w:rPr>
          <w:rFonts w:ascii="Arial" w:cs="Arial" w:eastAsia="Arial" w:hAnsi="Arial"/>
          <w:sz w:val="12"/>
          <w:szCs w:val="12"/>
          <w:color w:val="auto"/>
        </w:rPr>
        <w:t>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 including Sephience, Translarna, Emflaza, Upstaza, Kebilidi, Evrysdi, Tegsedi or Waylivra.</w:t>
      </w:r>
    </w:p>
    <w:p>
      <w:pPr>
        <w:spacing w:after="0" w:line="105" w:lineRule="exact"/>
        <w:rPr>
          <w:sz w:val="20"/>
          <w:szCs w:val="20"/>
          <w:color w:val="auto"/>
        </w:rPr>
      </w:pPr>
    </w:p>
    <w:p>
      <w:pPr>
        <w:ind w:left="20" w:right="59"/>
        <w:spacing w:after="0" w:line="252" w:lineRule="auto"/>
        <w:rPr>
          <w:sz w:val="20"/>
          <w:szCs w:val="20"/>
          <w:color w:val="auto"/>
        </w:rPr>
      </w:pPr>
      <w:r>
        <w:rPr>
          <w:rFonts w:ascii="Arial" w:cs="Arial" w:eastAsia="Arial" w:hAnsi="Arial"/>
          <w:sz w:val="12"/>
          <w:szCs w:val="12"/>
          <w:color w:val="auto"/>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217805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9" w:name="page10"/>
    <w:bookmarkEnd w:id="9"/>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2026-10-29T16:20:01Z</dcterms:created>
  <dcterms:modified xsi:type="dcterms:W3CDTF">2026-10-29T16:20:01Z</dcterms:modified>
</cp:coreProperties>
</file>