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2026</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PTC 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Company as Specified in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001-35969</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04-3416587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60" w:space="720"/>
            <w:col w:w="2800" w:space="720"/>
            <w:col w:w="2440"/>
          </w:cols>
          <w:pgMar w:left="320" w:top="772" w:right="339" w:bottom="1440" w:gutter="0" w:footer="0" w:header="0"/>
          <w:type w:val="continuous"/>
        </w:sectPr>
      </w:pPr>
    </w:p>
    <w:p>
      <w:pPr>
        <w:spacing w:after="0" w:line="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500 Warren Corporate Center Drive</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Warren, NJ</w:t>
      </w:r>
    </w:p>
    <w:p>
      <w:pPr>
        <w:spacing w:after="0" w:line="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07059</w:t>
      </w:r>
    </w:p>
    <w:p>
      <w:pPr>
        <w:spacing w:after="0" w:line="3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60" w:space="720"/>
            <w:col w:w="306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(908) 222-7000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PTCT</w:t>
            </w:r>
          </w:p>
        </w:tc>
        <w:tc>
          <w:tcPr>
            <w:tcW w:w="2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June 18, 2026, PTC Therapeutics, Inc. (the “Company”) completed its previously announced private offering of $550,000,000 aggregate principal amount of its 0.0% Convertible Senior Notes due 2031 (the “Notes”) and entered into an indenture with U.S. Bank Trust Company, National Association, as trustee (the “Trustee”), governing the Notes (the “Indenture”). The Notes were sold in a private placement under a purchase agreement, dated as of June 15, 2026, entered into by and between the Company and Morgan Stanley &amp; Co. LLC, as representative of the several initial purchasers named in the purchase agreement (collectively, the “Initial Purchasers”), for resale to persons reasonably believed to be qualified institutional buyers pursuant to Rule 144A under the Securities Act of 1933, as amended (the “Securities Act”). The aggregate principal amount of the Notes sold reflects the exercise in full by the Initial Purchasers of their option to purchase up to an additional $50,000,000 in aggregate principal amount of the Notes.</w:t>
      </w:r>
    </w:p>
    <w:p>
      <w:pPr>
        <w:spacing w:after="0" w:line="18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Notes will not bear regular interest, and the principal amount of the Notes will not accrete. The Notes may bear special interest under specified circumstances relating to the Company’s failure to comply with its reporting obligations under the Indenture or if the Notes are not freely tradeable as required by the Indenture. Special interest, if any, will be payable semiannually in arrears on June 15 and December 15 of each year, beginning on December 15, 2026 (if and to the extent that special interest is payable). The Notes will mature on June 15, 2031, unless earlier converted, redeemed or repurchased pursuant to their terms.</w:t>
      </w:r>
    </w:p>
    <w:p>
      <w:pPr>
        <w:spacing w:after="0" w:line="1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initial conversion rate of the Notes is 9.3042 shares of the Company’s common stock, par value $0.001 per share (the “Common Stock”), per $1,000 principal amount of Notes (which is equivalent to an initial conversion price of approximately $107.48 per share). The conversion rate will be subject to adjustment upon the occurrence of certain specified events but will not be adjusted for any accrued and unpaid special interest. In addition, upon the occurrence of a make-whole fundamental change (as defined in the Indenture) or an issuance of a notice of redemption, the Company will, in certain circumstances, increase the conversion rate by a number of additional shares for a holder that elects to convert its Notes in connection with such make-whole fundamental change or notice of redemption.</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Holders may convert all or any portion of their Notes at their option at any time prior to the close of business on the business day immediately preceding March 15, 2031 only under the following circumstances: (1) during any calendar quarter commencing after the calendar quarter ending on September 30, 2026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per $1,000 principal amount of Notes for each trading day of the measurement period was less than 98% of the product of the last reported sale price of the Common Stock and the conversion rate on each such trading day; (3) if the Company calls any or all of the Notes for redemption, at any time prior to the close of business on the second scheduled trading day immediately preceding the relevant redemption date; or (4) upon the occurrence of specified corporate events. On or after March 15, 2031 until the close of business on the second scheduled trading day immediately preceding the maturity date, holders may convert all or any portion of their Notes at any time, regardless of the foregoing circumstances. Upon conversion, the Company will satisfy its conversion obligation by paying or delivering, as the case may be, cash, shares of Common Stock or a combination of cash and shares of Common Stock, at the Company’s election.</w:t>
      </w:r>
    </w:p>
    <w:p>
      <w:pPr>
        <w:spacing w:after="0" w:line="19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not redeem the Notes prior to June 20, 2029. The Company may redeem for cash all or any portion of the Notes, at the Company’s option, on or after June 20, 2029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written notice of redemption at a redemption price equal to 100% of the principal amount of the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special interest to, but excluding, the redemption date. No “sinking fund” is provided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240"/>
        <w:spacing w:after="0" w:line="289" w:lineRule="auto"/>
        <w:rPr>
          <w:sz w:val="20"/>
          <w:szCs w:val="20"/>
          <w:color w:val="auto"/>
        </w:rPr>
      </w:pPr>
      <w:r>
        <w:rPr>
          <w:rFonts w:ascii="Times New Roman" w:cs="Times New Roman" w:eastAsia="Times New Roman" w:hAnsi="Times New Roman"/>
          <w:sz w:val="17"/>
          <w:szCs w:val="17"/>
          <w:color w:val="231F20"/>
        </w:rPr>
        <w:t>If the Company undergoes a fundamental change (as defined in the Indenture) prior to the maturity date, then, subject to certain conditions, holders of Notes may require the Company to repurchase for cash all or any portion of their Notes at a fundamental change repurchase price equal to 100% of the principal amount of the Notes to be repurchased, plus any accrued and unpaid special interest to, but excluding, the fundamental change repurchase date.</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are the Company’s general unsecured, senior obligations and will rank senior in right of payment to any of its indebtedness that is expressly subordinated in right of payment to the Notes; equal in right of payment with all of the Company’s existing and future unsecured indebtedness that is not so subordinated (including any of the Company’s outstanding 1.50% Convertible Senior Notes due 2026 (the “Existing Convertible Notes”)); effectively junior in right of payment to any of the Company’s senior, secured indebtedness to the extent of the value of the assets securing such indebtedness; and structurally junior to all indebtedness and other liabilities (including trade payables) of the Company’s current or future subsidiaries.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including that upon certain events of default (including the Company’s failure to make any payment of principal or any special interest on the Notes when due and payable) occurring and continuing, the Trustee by written notice to the Company, or the holders of at least 25% in principal amount of the outstanding Notes by notice to the Company and the Trustee, may (subject to the provisions of the Indenture) declare 100% of the principal of and accrued and unpaid special interest, if any, on all the Notes to be due and payable. In case of certain events of bankruptcy, insolvency or reorganization, involving the Company or a significant subsidiary, 100% of the principal of and accrued and unpaid special interest, if any, on the Notes will automatically become due and payable without any further act or declaration on the part of the holders or the Trustee. Upon such a declaration of acceleration, such principal and accrued and unpaid special interest, if any, will be due and payable immediately.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net proceeds from the offering to be approximately $535.5 million, after deducting the Initial Purchasers’ discounts and commissions and the Company’s estimated offering expenses. The Company is using approximately $328.8 million of the net proceeds from the offering to repurchase for cash $222.0 million in aggregate principal amount of the Existing Convertible Notes pursuant to privately negotiated transactions with certain holders entered into concurrently with the pricing of the offering of the Notes. The remaining net proceeds from the offering will be used for general corporate purposes, which may include additional repurchases of the Existing Convertible Notes from time to time following the offering and the repayment or retirement of any remaining Existing Convertible Notes at maturity.</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Indenture and the Notes is a summary only and is qualified in its entirety by reference to the text of the Indenture (and the Form of Note included therein), which is attached as Exhibit 4.1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herein by reference.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Notes were sold to the Initial Purchasers in reliance on the exemption from the registration requirements provided by Section 4(a)(2) of the Securities Act for resale to persons reasonably believed to be qualified institutional buyers pursuant to Rule 144A of the Securities Act. The Company does not intend to file a registration statement for the resale of the Notes or any Common Stock issuable upon conversion of the Notes. Additional information pertaining to the Notes and the shares of Common Stock issuable upon conversion of the Notes is contained in Item 1.01 of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using approximately $328.8 million of the net proceeds from the offering to repurchase for cash $222.0 million in aggregate principal amount of the Existing Convertible Notes pursuant to privately negotiated transactions with certain holders entered into concurrently with the pricing of the offering of the Notes. After giving effect to such expected repurchases of the Existing Convertible Notes, the aggregate principal amount outstanding of Existing Convertible Notes would be $55.5 million.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7" w:lineRule="exact"/>
        <w:rPr>
          <w:sz w:val="20"/>
          <w:szCs w:val="20"/>
          <w:color w:val="auto"/>
        </w:rPr>
      </w:pPr>
    </w:p>
    <w:p>
      <w:pPr>
        <w:ind w:left="1260" w:right="520" w:hanging="786"/>
        <w:spacing w:after="0" w:line="282"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8"/>
          <w:szCs w:val="18"/>
          <w:u w:val="single" w:color="auto"/>
          <w:color w:val="0000EE"/>
        </w:rPr>
        <w:t>Indenture (including Form of Note), dated June 18, 2026, between PTC Therapeutics, Inc. and U.S. Bank Trust Company, National Association.</w:t>
      </w:r>
    </w:p>
    <w:p>
      <w:pPr>
        <w:spacing w:after="0" w:line="162"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information about future expectations, plans and prospects of the Company’s management that constitute forward-looking statements for purposes of the safe harbor provisions under The Private Securities Litigation Reform Act of 1995, including statements with respect to the Company’s expectations with respect to the repurchase of Existing Convertible Notes. Actual results may differ materially from those indicated by these forward-looking statements as a result of various important factors including, but not limited to, the impact of general economic, industry, market or political conditions and other factors that are discussed in the Company’s Annual Report on Form 10-K, Quarterly Reports on Form 10-Q, and other documents periodically filed with the Securities and Exchange Commission.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statements in this Current Report on Form 8-K represent the Company’s expectations and beliefs as of the date of this Current Report on Form 8-K. The Company anticipates that subsequent events and developments may cause these expectations and beliefs to change. However, while the Company may elect to update these forward-looking statements at some point in the future, it specifically disclaims any obligation to do so. These forward-looking statements should not be relied upon as representing the Company’s expectations or beliefs as of any date subsequent to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PTC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Pierre Gravier</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Pierre Gravier</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36"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PTC THERAPEUTICS,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as Trustee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Dated as of June 18,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 Convertible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700" w:type="dxa"/>
            <w:vAlign w:val="bottom"/>
            <w:gridSpan w:val="3"/>
          </w:tcPr>
          <w:p>
            <w:pPr>
              <w:jc w:val="right"/>
              <w:ind w:right="20"/>
              <w:spacing w:after="0" w:line="184" w:lineRule="exact"/>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8400" w:type="dxa"/>
            <w:vAlign w:val="bottom"/>
            <w:vMerge w:val="restart"/>
          </w:tcPr>
          <w:p>
            <w:pPr>
              <w:jc w:val="center"/>
              <w:ind w:left="450"/>
              <w:spacing w:after="0"/>
              <w:rPr>
                <w:sz w:val="20"/>
                <w:szCs w:val="20"/>
                <w:color w:val="auto"/>
              </w:rPr>
            </w:pPr>
            <w:r>
              <w:rPr>
                <w:rFonts w:ascii="Times New Roman" w:cs="Times New Roman" w:eastAsia="Times New Roman" w:hAnsi="Times New Roman"/>
                <w:sz w:val="18"/>
                <w:szCs w:val="18"/>
                <w:color w:val="auto"/>
                <w:w w:val="97"/>
              </w:rPr>
              <w:t>ARTICLE 1</w:t>
            </w:r>
          </w:p>
        </w:tc>
        <w:tc>
          <w:tcPr>
            <w:tcW w:w="13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84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40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r>
              <w:rPr>
                <w:rFonts w:ascii="Times New Roman" w:cs="Times New Roman" w:eastAsia="Times New Roman" w:hAnsi="Times New Roman"/>
                <w:sz w:val="18"/>
                <w:szCs w:val="18"/>
                <w:color w:val="auto"/>
              </w:rPr>
              <w:t xml:space="preserve">  </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40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References to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ARTICLE 2</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r>
              <w:rPr>
                <w:rFonts w:ascii="Times New Roman" w:cs="Times New Roman" w:eastAsia="Times New Roman" w:hAnsi="Times New Roman"/>
                <w:sz w:val="18"/>
                <w:szCs w:val="18"/>
                <w:color w:val="auto"/>
              </w:rPr>
              <w:t xml:space="preserve">  </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40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2.01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Designation and Amount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2.02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Form of Notes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2.03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Date and Denomination of Notes; No Regular Interest; Special Interest and Defaulted Amounts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2.04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Execution, Authentication and Delivery of Notes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2.05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Exchange and Registration of Transfer of Notes; Restrictions on Transfer; Depositary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2.06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Mutilated, Destroyed, Lost or Stolen Notes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2.07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Temporary Notes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2.08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Cancellation of Notes Paid, Converted, Etc</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2.09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CUSIP Numbers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2.10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Additional Notes; Repurchases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ARTICLE 3</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r>
              <w:rPr>
                <w:rFonts w:ascii="Times New Roman" w:cs="Times New Roman" w:eastAsia="Times New Roman" w:hAnsi="Times New Roman"/>
                <w:sz w:val="18"/>
                <w:szCs w:val="18"/>
                <w:color w:val="auto"/>
              </w:rPr>
              <w:t xml:space="preserve">  </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40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3.01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Satisfaction and Discharge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ARTICLE 4</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4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4.01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Payment of Principal and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4.02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Maintenance of Office or Agency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4.03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Appointments to Fill Vacancies in the Trustee’s Role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4.04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Provisions as to Paying Agent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4.05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Existence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4.06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Rule 144A Information Requirement and Annual Reports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4.07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Stay, Extension and Usury Laws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4.08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Compliance Certificate; Statements as to Defaults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4.09 .</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Further Instruments and Acts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82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ARTICLE 5</w:t>
            </w:r>
          </w:p>
        </w:tc>
        <w:tc>
          <w:tcPr>
            <w:tcW w:w="188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82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ists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color w:val="auto"/>
              </w:rPr>
              <w:t xml:space="preserve">  </w:t>
            </w:r>
          </w:p>
        </w:tc>
        <w:tc>
          <w:tcPr>
            <w:tcW w:w="188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822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5.01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Lists of 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5.02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Preservation and Disclosure of Lists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60" w:type="dxa"/>
            <w:vAlign w:val="bottom"/>
          </w:tcPr>
          <w:p>
            <w:pPr>
              <w:spacing w:after="0"/>
              <w:rPr>
                <w:sz w:val="18"/>
                <w:szCs w:val="18"/>
                <w:color w:val="auto"/>
              </w:rPr>
            </w:pPr>
          </w:p>
        </w:tc>
        <w:tc>
          <w:tcPr>
            <w:tcW w:w="82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ARTICLE 6</w:t>
            </w:r>
          </w:p>
        </w:tc>
        <w:tc>
          <w:tcPr>
            <w:tcW w:w="18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2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r>
              <w:rPr>
                <w:rFonts w:ascii="Times New Roman" w:cs="Times New Roman" w:eastAsia="Times New Roman" w:hAnsi="Times New Roman"/>
                <w:sz w:val="18"/>
                <w:szCs w:val="18"/>
                <w:color w:val="auto"/>
              </w:rPr>
              <w:t xml:space="preserve">  </w:t>
            </w:r>
          </w:p>
        </w:tc>
        <w:tc>
          <w:tcPr>
            <w:tcW w:w="188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822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6.01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6.02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Acceleration; Rescission and Annulment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6.03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Special Interest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6.04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Payments of Notes on Default; Suit Therefor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6.05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Application of Monies Collected by Trustee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6.06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Proceedings by 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6.07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Proceedings by Trustee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6.08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Remedies Cumulative and Continuing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6.09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Direction of Proceedings and Waiver of Defaults by Majority of 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6.10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Notice of Defaults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6.11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Undertaking to Pay Costs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60" w:type="dxa"/>
            <w:vAlign w:val="bottom"/>
          </w:tcPr>
          <w:p>
            <w:pPr>
              <w:spacing w:after="0"/>
              <w:rPr>
                <w:sz w:val="18"/>
                <w:szCs w:val="18"/>
                <w:color w:val="auto"/>
              </w:rPr>
            </w:pPr>
          </w:p>
        </w:tc>
        <w:tc>
          <w:tcPr>
            <w:tcW w:w="82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ARTICLE 7</w:t>
            </w:r>
          </w:p>
        </w:tc>
        <w:tc>
          <w:tcPr>
            <w:tcW w:w="18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2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color w:val="auto"/>
              </w:rPr>
              <w:t xml:space="preserve">  </w:t>
            </w:r>
          </w:p>
        </w:tc>
        <w:tc>
          <w:tcPr>
            <w:tcW w:w="188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822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7.01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Duties and Responsibilities of Trustee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7.02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Reliance on Documents, Opinions, Etc</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7.03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 Responsibility for Recitals, Etc</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7.04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Trustee, Paying Agents, Conversion Agents, Bid Solicitation Agent or Note Registrar May Own Notes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7.05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Monies and Shares of Common Stock to Be Held in Trust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7.06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Compensation and Expenses of Trustee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7.07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Officers’ Certificate as Evidence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7.08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Eligibility of Trustee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7.09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Resignation or Removal of Trustee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7.10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Acceptance by Successor Trustee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7.11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Succession by Merger, Etc</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7.12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Trustee’s Application for Instructions from the Company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60" w:type="dxa"/>
            <w:vAlign w:val="bottom"/>
          </w:tcPr>
          <w:p>
            <w:pPr>
              <w:spacing w:after="0"/>
              <w:rPr>
                <w:sz w:val="18"/>
                <w:szCs w:val="18"/>
                <w:color w:val="auto"/>
              </w:rPr>
            </w:pPr>
          </w:p>
        </w:tc>
        <w:tc>
          <w:tcPr>
            <w:tcW w:w="82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ARTICLE 8</w:t>
            </w:r>
          </w:p>
        </w:tc>
        <w:tc>
          <w:tcPr>
            <w:tcW w:w="18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2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xml:space="preserve">  </w:t>
            </w:r>
          </w:p>
        </w:tc>
        <w:tc>
          <w:tcPr>
            <w:tcW w:w="188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822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8.01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Action by 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8.02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Proof of Execution by 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8.03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Who Are Deemed Absolute Owners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8.04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Company-Owned Notes Disregarded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8.05 .</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Revocation of Consents; Future Holders Bound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2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9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7"/>
              </w:rPr>
              <w:t>ARTICLE 9</w:t>
            </w:r>
          </w:p>
        </w:tc>
        <w:tc>
          <w:tcPr>
            <w:tcW w:w="2140" w:type="dxa"/>
            <w:vAlign w:val="bottom"/>
          </w:tcPr>
          <w:p>
            <w:pPr>
              <w:spacing w:after="0"/>
              <w:rPr>
                <w:sz w:val="17"/>
                <w:szCs w:val="17"/>
                <w:color w:val="auto"/>
              </w:rPr>
            </w:pPr>
          </w:p>
        </w:tc>
      </w:tr>
      <w:tr>
        <w:trPr>
          <w:trHeight w:val="216"/>
        </w:trPr>
        <w:tc>
          <w:tcPr>
            <w:tcW w:w="1220" w:type="dxa"/>
            <w:vAlign w:val="bottom"/>
          </w:tcPr>
          <w:p>
            <w:pPr>
              <w:spacing w:after="0"/>
              <w:rPr>
                <w:sz w:val="18"/>
                <w:szCs w:val="18"/>
                <w:color w:val="auto"/>
              </w:rPr>
            </w:pPr>
          </w:p>
        </w:tc>
        <w:tc>
          <w:tcPr>
            <w:tcW w:w="79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r>
              <w:rPr>
                <w:rFonts w:ascii="Times New Roman" w:cs="Times New Roman" w:eastAsia="Times New Roman" w:hAnsi="Times New Roman"/>
                <w:sz w:val="18"/>
                <w:szCs w:val="18"/>
                <w:color w:val="auto"/>
              </w:rPr>
              <w:t xml:space="preserve">  </w:t>
            </w:r>
          </w:p>
        </w:tc>
        <w:tc>
          <w:tcPr>
            <w:tcW w:w="2140" w:type="dxa"/>
            <w:vAlign w:val="bottom"/>
          </w:tcPr>
          <w:p>
            <w:pPr>
              <w:spacing w:after="0"/>
              <w:rPr>
                <w:sz w:val="18"/>
                <w:szCs w:val="18"/>
                <w:color w:val="auto"/>
              </w:rPr>
            </w:pPr>
          </w:p>
        </w:tc>
      </w:tr>
      <w:tr>
        <w:trPr>
          <w:trHeight w:val="214"/>
        </w:trPr>
        <w:tc>
          <w:tcPr>
            <w:tcW w:w="1220" w:type="dxa"/>
            <w:vAlign w:val="bottom"/>
          </w:tcPr>
          <w:p>
            <w:pPr>
              <w:spacing w:after="0"/>
              <w:rPr>
                <w:sz w:val="18"/>
                <w:szCs w:val="18"/>
                <w:color w:val="auto"/>
              </w:rPr>
            </w:pPr>
          </w:p>
        </w:tc>
        <w:tc>
          <w:tcPr>
            <w:tcW w:w="790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9.01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Purpose of Meetings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9.02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Call of Meetings by Trustee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9.03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Call of Meetings by Company or Holders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9.04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Qualifications for Voting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9.05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Regulations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9.06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Voting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9.07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 Delay of Rights by Meeting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20" w:type="dxa"/>
            <w:vAlign w:val="bottom"/>
          </w:tcPr>
          <w:p>
            <w:pPr>
              <w:spacing w:after="0"/>
              <w:rPr>
                <w:sz w:val="18"/>
                <w:szCs w:val="18"/>
                <w:color w:val="auto"/>
              </w:rPr>
            </w:pPr>
          </w:p>
        </w:tc>
        <w:tc>
          <w:tcPr>
            <w:tcW w:w="79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ARTICLE 10</w:t>
            </w:r>
          </w:p>
        </w:tc>
        <w:tc>
          <w:tcPr>
            <w:tcW w:w="21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79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w:t>
            </w:r>
            <w:r>
              <w:rPr>
                <w:rFonts w:ascii="Times New Roman" w:cs="Times New Roman" w:eastAsia="Times New Roman" w:hAnsi="Times New Roman"/>
                <w:sz w:val="18"/>
                <w:szCs w:val="18"/>
                <w:color w:val="auto"/>
              </w:rPr>
              <w:t xml:space="preserve">  </w:t>
            </w:r>
          </w:p>
        </w:tc>
        <w:tc>
          <w:tcPr>
            <w:tcW w:w="2140" w:type="dxa"/>
            <w:vAlign w:val="bottom"/>
          </w:tcPr>
          <w:p>
            <w:pPr>
              <w:spacing w:after="0"/>
              <w:rPr>
                <w:sz w:val="18"/>
                <w:szCs w:val="18"/>
                <w:color w:val="auto"/>
              </w:rPr>
            </w:pPr>
          </w:p>
        </w:tc>
      </w:tr>
      <w:tr>
        <w:trPr>
          <w:trHeight w:val="214"/>
        </w:trPr>
        <w:tc>
          <w:tcPr>
            <w:tcW w:w="1220" w:type="dxa"/>
            <w:vAlign w:val="bottom"/>
          </w:tcPr>
          <w:p>
            <w:pPr>
              <w:spacing w:after="0"/>
              <w:rPr>
                <w:sz w:val="18"/>
                <w:szCs w:val="18"/>
                <w:color w:val="auto"/>
              </w:rPr>
            </w:pPr>
          </w:p>
        </w:tc>
        <w:tc>
          <w:tcPr>
            <w:tcW w:w="790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10.01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Supplemental Indentures Without Consent of Holders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10.02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Supplemental Indentures with Consent of Holders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10.03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Effect of Supplemental Indentures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10.04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Notation on Notes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10.05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Evidence of Compliance of Supplemental Indenture to Be Furnished Trustee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20" w:type="dxa"/>
            <w:vAlign w:val="bottom"/>
          </w:tcPr>
          <w:p>
            <w:pPr>
              <w:spacing w:after="0"/>
              <w:rPr>
                <w:sz w:val="18"/>
                <w:szCs w:val="18"/>
                <w:color w:val="auto"/>
              </w:rPr>
            </w:pPr>
          </w:p>
        </w:tc>
        <w:tc>
          <w:tcPr>
            <w:tcW w:w="79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6"/>
              </w:rPr>
              <w:t>ARTICLE 11</w:t>
            </w:r>
          </w:p>
        </w:tc>
        <w:tc>
          <w:tcPr>
            <w:tcW w:w="21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79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onveyance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ease</w:t>
            </w:r>
            <w:r>
              <w:rPr>
                <w:rFonts w:ascii="Times New Roman" w:cs="Times New Roman" w:eastAsia="Times New Roman" w:hAnsi="Times New Roman"/>
                <w:sz w:val="18"/>
                <w:szCs w:val="18"/>
                <w:color w:val="auto"/>
              </w:rPr>
              <w:t xml:space="preserve">  </w:t>
            </w:r>
          </w:p>
        </w:tc>
        <w:tc>
          <w:tcPr>
            <w:tcW w:w="2140" w:type="dxa"/>
            <w:vAlign w:val="bottom"/>
          </w:tcPr>
          <w:p>
            <w:pPr>
              <w:spacing w:after="0"/>
              <w:rPr>
                <w:sz w:val="18"/>
                <w:szCs w:val="18"/>
                <w:color w:val="auto"/>
              </w:rPr>
            </w:pPr>
          </w:p>
        </w:tc>
      </w:tr>
      <w:tr>
        <w:trPr>
          <w:trHeight w:val="214"/>
        </w:trPr>
        <w:tc>
          <w:tcPr>
            <w:tcW w:w="1220" w:type="dxa"/>
            <w:vAlign w:val="bottom"/>
          </w:tcPr>
          <w:p>
            <w:pPr>
              <w:spacing w:after="0"/>
              <w:rPr>
                <w:sz w:val="18"/>
                <w:szCs w:val="18"/>
                <w:color w:val="auto"/>
              </w:rPr>
            </w:pPr>
          </w:p>
        </w:tc>
        <w:tc>
          <w:tcPr>
            <w:tcW w:w="790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11.01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Company May Consolidate, Etc. on Certain Terms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11.02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Successor Corporation to Be Substituted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11.03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Officers’ Certificate and Opinion of Counsel to Be Given to Trustee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20" w:type="dxa"/>
            <w:vAlign w:val="bottom"/>
          </w:tcPr>
          <w:p>
            <w:pPr>
              <w:spacing w:after="0"/>
              <w:rPr>
                <w:sz w:val="18"/>
                <w:szCs w:val="18"/>
                <w:color w:val="auto"/>
              </w:rPr>
            </w:pPr>
          </w:p>
        </w:tc>
        <w:tc>
          <w:tcPr>
            <w:tcW w:w="79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ARTICLE 12</w:t>
            </w:r>
          </w:p>
        </w:tc>
        <w:tc>
          <w:tcPr>
            <w:tcW w:w="21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79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mmunity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r>
              <w:rPr>
                <w:rFonts w:ascii="Times New Roman" w:cs="Times New Roman" w:eastAsia="Times New Roman" w:hAnsi="Times New Roman"/>
                <w:sz w:val="18"/>
                <w:szCs w:val="18"/>
                <w:color w:val="auto"/>
              </w:rPr>
              <w:t xml:space="preserve">  </w:t>
            </w:r>
          </w:p>
        </w:tc>
        <w:tc>
          <w:tcPr>
            <w:tcW w:w="2140" w:type="dxa"/>
            <w:vAlign w:val="bottom"/>
          </w:tcPr>
          <w:p>
            <w:pPr>
              <w:spacing w:after="0"/>
              <w:rPr>
                <w:sz w:val="18"/>
                <w:szCs w:val="18"/>
                <w:color w:val="auto"/>
              </w:rPr>
            </w:pPr>
          </w:p>
        </w:tc>
      </w:tr>
      <w:tr>
        <w:trPr>
          <w:trHeight w:val="214"/>
        </w:trPr>
        <w:tc>
          <w:tcPr>
            <w:tcW w:w="1220" w:type="dxa"/>
            <w:vAlign w:val="bottom"/>
          </w:tcPr>
          <w:p>
            <w:pPr>
              <w:spacing w:after="0"/>
              <w:rPr>
                <w:sz w:val="18"/>
                <w:szCs w:val="18"/>
                <w:color w:val="auto"/>
              </w:rPr>
            </w:pPr>
          </w:p>
        </w:tc>
        <w:tc>
          <w:tcPr>
            <w:tcW w:w="790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12.01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Indenture and Notes Solely Corporate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220" w:type="dxa"/>
            <w:vAlign w:val="bottom"/>
          </w:tcPr>
          <w:p>
            <w:pPr>
              <w:spacing w:after="0"/>
              <w:rPr>
                <w:sz w:val="20"/>
                <w:szCs w:val="20"/>
                <w:color w:val="auto"/>
              </w:rPr>
            </w:pPr>
          </w:p>
        </w:tc>
        <w:tc>
          <w:tcPr>
            <w:tcW w:w="79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ARTICLE 13</w:t>
            </w:r>
          </w:p>
        </w:tc>
        <w:tc>
          <w:tcPr>
            <w:tcW w:w="2140" w:type="dxa"/>
            <w:vAlign w:val="bottom"/>
          </w:tcPr>
          <w:p>
            <w:pPr>
              <w:spacing w:after="0"/>
              <w:rPr>
                <w:sz w:val="20"/>
                <w:szCs w:val="20"/>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mitted</w:t>
      </w:r>
      <w:r>
        <w:rPr>
          <w:rFonts w:ascii="Times New Roman" w:cs="Times New Roman" w:eastAsia="Times New Roman" w:hAnsi="Times New Roman"/>
          <w:sz w:val="18"/>
          <w:szCs w:val="18"/>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14</w:t>
      </w:r>
    </w:p>
    <w:tbl>
      <w:tblPr>
        <w:tblLayout w:type="fixed"/>
        <w:tblInd w:w="0" w:type="dxa"/>
        <w:tblCellMar>
          <w:top w:w="0" w:type="dxa"/>
          <w:left w:w="0" w:type="dxa"/>
          <w:bottom w:w="0" w:type="dxa"/>
          <w:right w:w="0" w:type="dxa"/>
        </w:tblCellMar>
      </w:tblPr>
      <w:tr>
        <w:trPr>
          <w:trHeight w:val="205"/>
        </w:trPr>
        <w:tc>
          <w:tcPr>
            <w:tcW w:w="1220" w:type="dxa"/>
            <w:vAlign w:val="bottom"/>
          </w:tcPr>
          <w:p>
            <w:pPr>
              <w:spacing w:after="0"/>
              <w:rPr>
                <w:sz w:val="17"/>
                <w:szCs w:val="17"/>
                <w:color w:val="auto"/>
              </w:rPr>
            </w:pPr>
          </w:p>
        </w:tc>
        <w:tc>
          <w:tcPr>
            <w:tcW w:w="8680" w:type="dxa"/>
            <w:vAlign w:val="bottom"/>
          </w:tcPr>
          <w:p>
            <w:pPr>
              <w:jc w:val="center"/>
              <w:ind w:left="70"/>
              <w:spacing w:after="0" w:line="205" w:lineRule="exact"/>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onversion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r>
              <w:rPr>
                <w:rFonts w:ascii="Times New Roman" w:cs="Times New Roman" w:eastAsia="Times New Roman" w:hAnsi="Times New Roman"/>
                <w:sz w:val="18"/>
                <w:szCs w:val="18"/>
                <w:color w:val="auto"/>
              </w:rPr>
              <w:t xml:space="preserve">  </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18"/>
                <w:szCs w:val="18"/>
                <w:color w:val="auto"/>
              </w:rPr>
            </w:pPr>
          </w:p>
        </w:tc>
        <w:tc>
          <w:tcPr>
            <w:tcW w:w="868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14.01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Conversion Privilege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14.02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Conversion Procedure; Settlement Upon Conversion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Increased Conversion Rate Applicable to Certain Notes Surrendered in Connection with Make-Whole Fundamental</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14.03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Changes or a Redemption Notice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14.04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Adjustment of Conversion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14.05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Adjustments of Prices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14.06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Shares to Be Fully Paid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14.07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Effect of Recapitalizations, Reclassifications and Changes of the Common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14.08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Certain 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14.09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Responsibility of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14.10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14.11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Stockholder Rights Plans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14.12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Exchange In Lieu Of Conversion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ARTICLE 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xml:space="preserve">  </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18"/>
                <w:szCs w:val="18"/>
                <w:color w:val="auto"/>
              </w:rPr>
            </w:pPr>
          </w:p>
        </w:tc>
        <w:tc>
          <w:tcPr>
            <w:tcW w:w="868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15.01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[Intentionally Omitted]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15.02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Repurchase at Option of Holders Upon a Fundamental Change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15.03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Withdrawal of Fundamental Change Repurchase Notice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15.04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Deposit of Fundamental Change Repurchase Price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15.05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Covenant to Comply with Applicable Laws Upon Repurchase of Notes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ARTICLE 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r>
              <w:rPr>
                <w:rFonts w:ascii="Times New Roman" w:cs="Times New Roman" w:eastAsia="Times New Roman" w:hAnsi="Times New Roman"/>
                <w:sz w:val="18"/>
                <w:szCs w:val="18"/>
                <w:color w:val="auto"/>
              </w:rPr>
              <w:t xml:space="preserve">  </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18"/>
                <w:szCs w:val="18"/>
                <w:color w:val="auto"/>
              </w:rPr>
            </w:pPr>
          </w:p>
        </w:tc>
        <w:tc>
          <w:tcPr>
            <w:tcW w:w="868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16.01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Optional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16.02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Notice of Optional Redemption; Selection of Notes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16.03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Payment of Notes Called for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16.04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Restrictions on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ARTICLE 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r>
              <w:rPr>
                <w:rFonts w:ascii="Times New Roman" w:cs="Times New Roman" w:eastAsia="Times New Roman" w:hAnsi="Times New Roman"/>
                <w:sz w:val="18"/>
                <w:szCs w:val="18"/>
                <w:color w:val="auto"/>
              </w:rPr>
              <w:t xml:space="preserve">  </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18"/>
                <w:szCs w:val="18"/>
                <w:color w:val="auto"/>
              </w:rPr>
            </w:pPr>
          </w:p>
        </w:tc>
        <w:tc>
          <w:tcPr>
            <w:tcW w:w="868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17.01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Provisions Binding on Company’s Successors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17.02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Official Acts by Successor Corporation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17.03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Addresses for Notices,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17.04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Governing Law; Jurisdiction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17.05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Evidence of Compliance with Conditions Precedent; Certificates and Opinions of Counsel to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17.06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Legal Holidays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17.07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 Security Interest Created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17.08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Benefits of Indenture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17.09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Table of Contents, Headings,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17.10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Authenticating Agent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17.11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Execution in Counterparts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17.12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17.13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17.14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Force Majeure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17.15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Calculations.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17.16 .</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USA PATRIOT Act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6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6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20" w:type="dxa"/>
            <w:vAlign w:val="bottom"/>
            <w:vMerge w:val="continue"/>
          </w:tcPr>
          <w:p>
            <w:pPr>
              <w:spacing w:after="0"/>
              <w:rPr>
                <w:sz w:val="17"/>
                <w:szCs w:val="17"/>
                <w:color w:val="auto"/>
              </w:rPr>
            </w:pPr>
          </w:p>
        </w:tc>
        <w:tc>
          <w:tcPr>
            <w:tcW w:w="8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Note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A-1</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dated as of June 18, 2026 between PTC Therapeutics,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forth in Section 1‎.01) and U.S. Bank Trust Company, National Association, a national banking association organized under the laws of the United States,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0% Convertible Senior Notes due 2031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not to exceed $550,000,000, and in order to provide the terms and conditions upon which the Notes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authenticated, issued and delivered, the Company has duly authorized the execution and delivery of this Indenture;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 Repurchase Notice and the Form of Assignment and Transfer to be borne by the Notes are to be substantially in the forms hereinafter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authorized authenticating agent, as in this Indenture provided, the valid, binding and legal obligations of the Company, and this Indenture a valid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according to its terms, have been done and performed, and the execution of this Indenture and the issuance hereunder of the Notes have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been duly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xml:space="preserve"> The terms defined in this ‎Section 1.01 (except as herein otherwise expressly provided or unless the context otherwise</w:t>
      </w:r>
    </w:p>
    <w:p>
      <w:pPr>
        <w:spacing w:after="0" w:line="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this Indenture shall be made based on the facts at the time such determination is made or required to be made, as the case may be, 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accordance with Section 14‎.01(b)(i). The Company shall initially act as the Bid Solicitation Agent. The Company may appoint another Person, including itself, to act as Bid Solicitation Agent at any time without prior notice to Holders.  </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  </w:t>
      </w:r>
    </w:p>
    <w:p>
      <w:pPr>
        <w:spacing w:after="0" w:line="200" w:lineRule="exact"/>
        <w:rPr>
          <w:sz w:val="20"/>
          <w:szCs w:val="20"/>
          <w:color w:val="auto"/>
        </w:rPr>
      </w:pPr>
    </w:p>
    <w:p>
      <w:pPr>
        <w:ind w:right="2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interests in (however designated) stock issued by that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debt securities that are convertible into or exchangeable for Capital Stock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constitute Capital Stock prior to their conversion or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or (b) if such Person is not a corporation, to vote or otherwise participate in the selection of the governing body, partners, managers or others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control the management or policies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$0.001 per share, at the date of this Indenture, subject to Section 14‎.07.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 the Company’s Chief Executive Officer, President,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Executive or Senior Vice President or any Vice President (whether or not designated by a number or numbers or word or words added before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title “Vice President”) and (b) any such other Officer designated in clause (a) of this definition or the Company’s Treasurer or Assistant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Secretary or any Assistant Secretary, and delivered to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shall have the meaning specified in Section 14‎.01(b)(iii).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Trust Office</w:t>
      </w:r>
      <w:r>
        <w:rPr>
          <w:rFonts w:ascii="Times New Roman" w:cs="Times New Roman" w:eastAsia="Times New Roman" w:hAnsi="Times New Roman"/>
          <w:sz w:val="17"/>
          <w:szCs w:val="17"/>
          <w:color w:val="auto"/>
        </w:rPr>
        <w:t>” means the designated office of the Trustee at which at any time this Indenture shall be administered, which office at the</w:t>
      </w:r>
    </w:p>
    <w:p>
      <w:pPr>
        <w:spacing w:after="0" w:line="21"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18"/>
          <w:szCs w:val="18"/>
          <w:color w:val="auto"/>
        </w:rPr>
        <w:t>date hereof is located at CityPlace I, 185 Asylum Street,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Hartford, CT 06103, Attn: L. Casasanta,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  </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Depository Trust Company, with respect to the Global Notes, or any successor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25 consecutive Trading Days during the Observation Period, 4.00% of the product of (a) the Conversion Rate on such Trading Day and (b) the Daily VWAP for such Trading Day.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the Specified Dollar Amount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25 consecutive Trading Days during the Observation Period, shall consist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cash in an amount equal to the lesser of (i) the Daily Measurement Value and (ii) the Daily Conversion Value on such Trading Day;</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if the Daily Conversion Value on such Trading Day exceeds the Daily Measurement Value, a number of shares of Common Stock equal to (i) the difference between the Daily Conversion Value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Trading Day.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25 consecutive Trading Days during the relevant Observation Period, the per share volume-weighted average price as displayed under the heading “Bloomberg VWAP” on Bloomberg page “PTCT&lt;equity&gt;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4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principal and Special Interest, if any) that are payable but are not punctually paid or duly provided for.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Special Interest</w:t>
      </w:r>
      <w:r>
        <w:rPr>
          <w:rFonts w:ascii="Times New Roman" w:cs="Times New Roman" w:eastAsia="Times New Roman" w:hAnsi="Times New Roman"/>
          <w:sz w:val="18"/>
          <w:szCs w:val="18"/>
          <w:color w:val="auto"/>
        </w:rPr>
        <w:t>” shall have the meaning specified in ‎Section 4.06(f).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Special Interest Demand Request</w:t>
      </w:r>
      <w:r>
        <w:rPr>
          <w:rFonts w:ascii="Times New Roman" w:cs="Times New Roman" w:eastAsia="Times New Roman" w:hAnsi="Times New Roman"/>
          <w:sz w:val="18"/>
          <w:szCs w:val="18"/>
          <w:color w:val="auto"/>
        </w:rPr>
        <w:t>” shall have the meaning specified in ‎Section 4.06(f).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delivered</w:t>
      </w:r>
      <w:r>
        <w:rPr>
          <w:rFonts w:ascii="Times New Roman" w:cs="Times New Roman" w:eastAsia="Times New Roman" w:hAnsi="Times New Roman"/>
          <w:sz w:val="18"/>
          <w:szCs w:val="18"/>
          <w:color w:val="auto"/>
        </w:rPr>
        <w:t>” with respect to any notice to be delivered, given or mailed to a Holder pursuant to this Indenture, shall mean notice (x) in the case of a Global Note, given to the Depositary (or its designee) pursuant to the standing instructions from the Depositary or its designee, including by electronic mail in accordance with accepted practices or procedures at the Depositary or (y) in the case of a Physical Note, mailed to such Holder by first class mail,</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postage prepaid, at its address as it appears on the Note Register, in each case in accordance with Section 17‎.03. Notice so “delivered” shall be deemed to include any notice to be “mailed” or “given,” as applicable, under this Indenture.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Depositary</w:t>
      </w:r>
      <w:r>
        <w:rPr>
          <w:rFonts w:ascii="Times New Roman" w:cs="Times New Roman" w:eastAsia="Times New Roman" w:hAnsi="Times New Roman"/>
          <w:sz w:val="17"/>
          <w:szCs w:val="17"/>
          <w:color w:val="auto"/>
        </w:rPr>
        <w:t>” means, with respect to each Global Note, the Person specified in ‎Section 2.05(c) as the Depositary with respect to such Notes, until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such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Trigger Irrevocable Physical Settlement Period</w:t>
      </w:r>
      <w:r>
        <w:rPr>
          <w:rFonts w:ascii="Times New Roman" w:cs="Times New Roman" w:eastAsia="Times New Roman" w:hAnsi="Times New Roman"/>
          <w:sz w:val="18"/>
          <w:szCs w:val="18"/>
          <w:color w:val="auto"/>
        </w:rPr>
        <w:t>” shall have the meaning specified in Section 14‎.01(b)(ii).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and Section 14‎.05,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reflecting the relevant share split or share combination,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alternative trading convention on the applicable exchange or market in respect of shares of Common Stock under a separate ticker symbol or CUSIP number shall not be considered “regular way” for this purpose).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alternative trading convention on the applicable exchange or market in respect of shares of Common Stock under a separate ticker symbol or CUSIP number shall not be considered “regular way” for this purpose).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attached as Attachment 3 to the Form of Note 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as 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Form of Fundamental Change Repurchase Notice</w:t>
      </w:r>
      <w:r>
        <w:rPr>
          <w:rFonts w:ascii="Times New Roman" w:cs="Times New Roman" w:eastAsia="Times New Roman" w:hAnsi="Times New Roman"/>
          <w:sz w:val="17"/>
          <w:szCs w:val="17"/>
          <w:color w:val="auto"/>
        </w:rPr>
        <w:t>” means the “Form of Fundamental Change Repurchase Notice” attached as Attachment 2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 of Note attached hereto as 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attached as Attachment 1 to the Form of Note attached hereto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Freely Tradable</w:t>
      </w:r>
      <w:r>
        <w:rPr>
          <w:rFonts w:ascii="Times New Roman" w:cs="Times New Roman" w:eastAsia="Times New Roman" w:hAnsi="Times New Roman"/>
          <w:sz w:val="18"/>
          <w:szCs w:val="18"/>
          <w:color w:val="auto"/>
        </w:rPr>
        <w:t>” means, with respect to any Note, that such Note would be eligible to be offered, sold or otherwise transferred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144 or otherwise if held by a Person that is not an affiliate (within the meaning of Rule 144) of the Company, and that has not been an affiliate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 of Rule 144) of the Company during the immediately preceding three months, without any requirements as to volume, manner of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of current public information or notice under the Securities Act (except that, during the six-month period beginning on, and including,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six months after the last date of original issuance of such Note, any such requirement as to the availability of current public information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disregarded if the same is satisfied at that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and prior to the Maturity Date if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occurs prior to the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(a)            a “person” or “group” within the meaning of Section 13(d) of the Exchange Act, other than the Company, its direct or indirect Wholly Owned Subsidiaries and the employee benefit plans of the Company and its direct or indirect Wholly Owned Subsidiaries, files a Schedule TO or any schedule, form or report under the Exchange Act that discloses that such “person” or “group” has become the direct or indirect “beneficial owner,” as defined in Rule 13d-3 under the Exchange Act, of the Common Stock representing more than 50% of the voting power of the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“person” or “group” shall be deemed to be the beneficial owner of any securities tendered pursuant to a tender offer or exchange offer made by or on behalf of such “person” or “group” until such tendered securities are accepted for purchase or exchange under such offer);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the consummation of (A) any recapitalization, reclassification or change of the Common Stock (other than changes resulting from a subdivision, combination or change in par value)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Wholly Owned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transaction described in clause (A) or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stockholders of the Company approve any plan or proposal for the liquidation or dissolution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320" w:firstLine="648"/>
        <w:spacing w:after="0" w:line="250" w:lineRule="auto"/>
        <w:rPr>
          <w:sz w:val="20"/>
          <w:szCs w:val="20"/>
          <w:color w:val="auto"/>
        </w:rPr>
      </w:pPr>
      <w:r>
        <w:rPr>
          <w:rFonts w:ascii="Times New Roman" w:cs="Times New Roman" w:eastAsia="Times New Roman" w:hAnsi="Times New Roman"/>
          <w:sz w:val="18"/>
          <w:szCs w:val="18"/>
          <w:color w:val="auto"/>
        </w:rPr>
        <w:t>(d)            the Common Stock (or other common stock underlying the Notes) ceases to be listed or quoted on any of The New York Stock Exchange, The Nasdaq Global Select Market or The Nasdaq Global Market (or any of their respective successors);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(a) or clause (b) above shall not constitute a Fundamental Change, if at least 90%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consideration received or to be received by the common stockholders of the Company, excluding cash payments for fractional shares or pursuant to statutory appraisal rights, in connection with such transaction or transactions consists of shares of common stock or a class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or pursuant to statutory appraisal rights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Section 14‎.02(a)). Solely for purposes of this definition (and, for the avoidance of doubt, not for purposes of the “Make-Whole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 definition), any transaction that constitutes a Fundamental Change pursuant to both clause (a) and clause (b) of this definition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(without giving effect to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 clause (b)) shall be deemed a Fundamental Change solely under clause (b) of this definition (subject to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transaction in which the Common Stock is replaced by the securities of another entity occurs, following completion of any related Make-Whole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 Period (or, in the case of a transaction that would have been a Fundamental Change or a Make-Whole Fundamental Change but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proviso immediately following clause (d) of this definition, following the effective date of such transaction) references to the Company in this definition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instead be references to such other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particular Note is registered on the Note 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Last Reported Sale Price</w:t>
      </w:r>
      <w:r>
        <w:rPr>
          <w:rFonts w:ascii="Times New Roman" w:cs="Times New Roman" w:eastAsia="Times New Roman" w:hAnsi="Times New Roman"/>
          <w:sz w:val="17"/>
          <w:szCs w:val="17"/>
          <w:color w:val="auto"/>
        </w:rPr>
        <w:t>” of the Common Stock (or other security for which a Last Reported Sale Price must be determined) on any date means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closing sale price per share (or if no closing sale price is reported, the average of the bid and ask prices or, if more than one in either case, the average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bid and the average ask prices) on that date as reported in composite transactions for the principal U.S. national or regional securities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which the Common Stock (or such other security) is traded. If the Common Stock (or such other security) is not listed for trading on a U.S. national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Common Stock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in the over-the-counter market on the relevant date as reported by OTC Markets Group Inc. or a similar organization. If the Common Stock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security)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(or such other security) on the relevant date from each of at least three nationally recognized independent investment banking firms selected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determined without regard to after-hours trading or any other trading outside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trading session hours.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June 15,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Election to Pay Deferred Special Interest</w:t>
      </w:r>
      <w:r>
        <w:rPr>
          <w:rFonts w:ascii="Times New Roman" w:cs="Times New Roman" w:eastAsia="Times New Roman" w:hAnsi="Times New Roman"/>
          <w:sz w:val="18"/>
          <w:szCs w:val="18"/>
          <w:color w:val="auto"/>
        </w:rPr>
        <w:t>” shall have the meaning specified in ‎Section 4.06(f).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March 15, 2031, the 25 consecutive Trading Day period beginning on, and including, the second Trading Day immediately succeeding such Conversion Date; (ii) if the relevant Conversion Date occurs on or after the date of the Company’s issuance of a Redemption Notice with respect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pursuant to Section 16‎.02 and prior to the close of business on the second Scheduled Trading Day immediately preceding the relevant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25 consecutive Trading Days beginning on, and including, the 26th Scheduled Trading Day immediately preceding such Redemption Date;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subject to clause (ii), if the relevant Conversion Date occurs on or after March 15, 2031, the 25 consecutive Trading Days beginning on, and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26th Scheduled Trading Day immediately preceding the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June 15, 2026, as supplemented by the related pricing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15, 2026, relating to the offering and sale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with respect to the Company, the President, the Chief Executive Officer, the Chief Financial Officer, the Treasurer, the Secretary,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Executive or Senior Vice President or any Vice President (whether or not designated by a number or numbers or word or words added before or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Officers’ Certificate</w:t>
      </w:r>
      <w:r>
        <w:rPr>
          <w:rFonts w:ascii="Times New Roman" w:cs="Times New Roman" w:eastAsia="Times New Roman" w:hAnsi="Times New Roman"/>
          <w:sz w:val="17"/>
          <w:szCs w:val="17"/>
          <w:color w:val="auto"/>
        </w:rPr>
        <w:t>,” when used with respect to the Company, means a certificate that is delivered to the Trustee and that is signed by (a) two Officers of the Company or (b) one Officer of the Company and one of any Assistant Treasurer, the Secretary, any Assistant Secretary or the Controller of the Company. Each such certificate shall include the statements provided for in ‎Section 17.05 if and to the extent required by the provisions of such Section.</w:t>
      </w:r>
    </w:p>
    <w:p>
      <w:pPr>
        <w:spacing w:after="0"/>
        <w:rPr>
          <w:sz w:val="20"/>
          <w:szCs w:val="20"/>
          <w:color w:val="auto"/>
        </w:rPr>
      </w:pPr>
      <w:r>
        <w:rPr>
          <w:rFonts w:ascii="Times New Roman" w:cs="Times New Roman" w:eastAsia="Times New Roman" w:hAnsi="Times New Roman"/>
          <w:sz w:val="18"/>
          <w:szCs w:val="18"/>
          <w:color w:val="auto"/>
        </w:rPr>
        <w:t>One of the Officers giving an Officers’ Certificate pursuant to Section 4‎.08 shall be the principal executive, financial or accounting officer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reasonably acceptable to the Trustee, which opinion may contain customary exceptions and qualifications as to the matters set forth therein, that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delivered to the Trustee. Each such opinion shall include the statements provided for in Section 17‎.05 if and to the extent required by the provisions of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authenticated and delivered by the Trustee under this Indenture,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Notes theretofore canceled by the Trustee or accepted by the Trustee for cancellation;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Notes that have been paid pursuant to ‎Section 2.06 or Notes in lieu of which, or in substitution for which, other Notes shall have</w:t>
      </w:r>
    </w:p>
    <w:p>
      <w:pPr>
        <w:spacing w:after="0" w:line="9" w:lineRule="exact"/>
        <w:rPr>
          <w:sz w:val="20"/>
          <w:szCs w:val="20"/>
          <w:color w:val="auto"/>
        </w:rPr>
      </w:pPr>
    </w:p>
    <w:p>
      <w:pPr>
        <w:ind w:left="660" w:right="40"/>
        <w:spacing w:after="0" w:line="250" w:lineRule="auto"/>
        <w:rPr>
          <w:sz w:val="20"/>
          <w:szCs w:val="20"/>
          <w:color w:val="auto"/>
        </w:rPr>
      </w:pPr>
      <w:r>
        <w:rPr>
          <w:rFonts w:ascii="Times New Roman" w:cs="Times New Roman" w:eastAsia="Times New Roman" w:hAnsi="Times New Roman"/>
          <w:sz w:val="18"/>
          <w:szCs w:val="18"/>
          <w:color w:val="auto"/>
        </w:rPr>
        <w:t>been authenticated and delivered pursuant to the terms of Section 2‎.06 unless proof satisfactory to the Trustee is presented that any such Notes are held by protected purchasers in due course;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Notes converted pursuant to Article 14‎ and required to be cancelled pursuant to Section 2‎.08;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Notes redeemed pursuant to Article 16;‎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720" w:firstLine="648"/>
        <w:spacing w:after="0" w:line="250" w:lineRule="auto"/>
        <w:rPr>
          <w:sz w:val="20"/>
          <w:szCs w:val="20"/>
          <w:color w:val="auto"/>
        </w:rPr>
      </w:pPr>
      <w:r>
        <w:rPr>
          <w:rFonts w:ascii="Times New Roman" w:cs="Times New Roman" w:eastAsia="Times New Roman" w:hAnsi="Times New Roman"/>
          <w:sz w:val="18"/>
          <w:szCs w:val="18"/>
          <w:color w:val="auto"/>
        </w:rPr>
        <w:t>(f)            Notes repurchased by the Company pursuant to Article 15 and Section 2‎.10 and, in each case, delivered to the Trustee for cancellation.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minimum denominations of $1,000 principal amount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integral multiples in excess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Note</w:t>
      </w:r>
      <w:r>
        <w:rPr>
          <w:rFonts w:ascii="Times New Roman" w:cs="Times New Roman" w:eastAsia="Times New Roman" w:hAnsi="Times New Roman"/>
          <w:sz w:val="18"/>
          <w:szCs w:val="18"/>
          <w:color w:val="auto"/>
        </w:rPr>
        <w:t>” of any particular Note means every previous Note evidencing all or a portion of the same debt as that evidenced by such</w:t>
      </w:r>
    </w:p>
    <w:p>
      <w:pPr>
        <w:spacing w:after="0" w:line="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security) have the right to receive any cash, securities or other property or in which the Common Stock (or such other security) is exchanged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converted into any combination of cash, securities or other property, the date fixed for determination of holders of the Common Stock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entitled to receive such cash, securities or other property (whether such date is fixed by the Board of Directors, by statute, by contract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have the meaning specified in Section 16‎.02(a).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shall have the meaning specified in Section 16‎.02(a).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Section 16‎.01,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Special Interest, if any, to, but excluding, the Redemption Date (unless the Redemption Date falls after a Special Interest Record Date but on or prior to the immediately succeeding Special Interest Payment Date, in which case any Special Interest accrued to the Special Interest Payment Date will be paid to Holders of record of such Notes as of the close of business on such Special Interest Record Date, and the Redemption Price will be equal to 100% of the principal amount of such Notes).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shall have the meaning specified in Section 2‎.05(c).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office of the Trustee,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assistant vice president, assistant secretary, assistant treasurer, trust officer or any other officer of the Trustee who customarily performs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 similar to those performed by the Persons who at the time shall be such officers who shall have direct responsibility for the administration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Indenture respectively, or any other officer of such Trustee to whom any corporate trust matter relating to this Indenture is referred because of such person's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of and familiarity with the particular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have the meaning specified in ‎Section 14.02(a)(iv).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elected (or deemed to have been elected)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shall have the meaning specified in ‎Section 14.02(a)(iii).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shall have the meaning specified in ‎Section 14.07(a).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Law</w:t>
      </w:r>
      <w:r>
        <w:rPr>
          <w:rFonts w:ascii="Times New Roman" w:cs="Times New Roman" w:eastAsia="Times New Roman" w:hAnsi="Times New Roman"/>
          <w:sz w:val="18"/>
          <w:szCs w:val="18"/>
          <w:color w:val="auto"/>
        </w:rPr>
        <w:t>” shall have the meaning specified in ‎Section 17.11.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 Subsidiary of the Company that meets the definition of “significant subsidiary” in Article 1, Rule 1-02(w)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S-X promulgated by the Commission (or any successor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means all amounts, if any, payable pursuant to ‎Section 4.06(d), ‎Section 4.06(e) and ‎Section 6.03,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 Payment Date</w:t>
      </w:r>
      <w:r>
        <w:rPr>
          <w:rFonts w:ascii="Times New Roman" w:cs="Times New Roman" w:eastAsia="Times New Roman" w:hAnsi="Times New Roman"/>
          <w:sz w:val="18"/>
          <w:szCs w:val="18"/>
          <w:color w:val="auto"/>
        </w:rPr>
        <w:t>” means, if and to the extent that Special Interest is payable on the Notes, each June 15 and December 15 of each year, beginning on December 15, 2026 (if any Special Interest is then payable).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 Record Date</w:t>
      </w:r>
      <w:r>
        <w:rPr>
          <w:rFonts w:ascii="Times New Roman" w:cs="Times New Roman" w:eastAsia="Times New Roman" w:hAnsi="Times New Roman"/>
          <w:sz w:val="18"/>
          <w:szCs w:val="18"/>
          <w:color w:val="auto"/>
        </w:rPr>
        <w:t>,” with respect to any Special Interest Payment Date, means the June 1 and December 1 (whether or not such day is a Business Day) immediately preceding the applicable June 15 and December 15 Special Interest Payment Date, respectively.  </w:t>
      </w:r>
    </w:p>
    <w:p>
      <w:pPr>
        <w:spacing w:after="0" w:line="20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the maximum cash amount (excluding cash in lieu of any fractional share of Common Stock) per $1,000 principal amount of Notes to be received upon conversion as specified in the Settlement Notice related to any converted Notes (or deemed specified as set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Section 14‎.02(a)(iii)).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shall have the meaning specified in ‎Section 11.01(a).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 Agent</w:t>
      </w:r>
      <w:r>
        <w:rPr>
          <w:rFonts w:ascii="Times New Roman" w:cs="Times New Roman" w:eastAsia="Times New Roman" w:hAnsi="Times New Roman"/>
          <w:sz w:val="18"/>
          <w:szCs w:val="18"/>
          <w:color w:val="auto"/>
        </w:rPr>
        <w:t>” shall have the meaning specified in ‎Section 15.02(b)(i).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except for purposes of determining the amount of cash and/or the number of shares of Common Stock due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 day on which (i) trading in the Common Stock (or other security for which a closing sale price must be determined) generally occurs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Global Select Market or, if the Common Stock (or such other security) is not then listed on The Nasdaq Global Select Market, on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U.S. national or regional securities exchange on which the Common Stock (or such other security) is then listed or, if the Common Stock (or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security) is not then listed on a U.S. national or regional securities exchange, on the principal other market on which the Common Stock (or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security) is then traded and (ii) a Last Reported Sale Price for the Common Stock (or closing sale price for such other security) is available 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for purposes of determining the amount of cash and/or the number of shares of the Common Stock due upon conversion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 Disruption Event and (y) trading in the Common Stock generally occurs on The Nasdaq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Select Market or, if the Common Stock is not then listed on The Nasdaq Global Select Market, on the principal other U.S. national or regional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exchange on which the Common Stock is then listed or, if the Common Stock is not then listed on a U.S. national or regional securities exchange,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principal other market on which the Common Stock is then listed or admitted for trading, except that if the Common Stock is not so listed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of the Notes on any date of determination means the average of the secondary market bid quotations obtained by the Bid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Solicitation Agent for $5,000,000 principal amount of Notes at approximately 3:30 p.m., New York City time, on such determination date from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independent nationally recognized securities dealers the Company selects for this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three such bids cannot reasonably be obtained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Bid Solicitation Agent but two such bids are obtained, then the average of the two bids shall be used, and if only one such bid can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 by the Bid Solicitation Agent, that one bid shall be used. If, on any Trading Day, the Bid Solicitation Agent cannot reasonably obtain at least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bid for $5,000,000 principal amount of Notes on such date from a nationally recognized securities dealer on any determination date, then the Trading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$1,000 principal amount of Notes on such determination date shall be deemed to be less than 98% of the product of the Last Reported Sale Price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and the Conversion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“Trust Indenture Act”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  </w:t>
      </w:r>
    </w:p>
    <w:p>
      <w:pPr>
        <w:spacing w:after="0" w:line="204" w:lineRule="exact"/>
        <w:rPr>
          <w:sz w:val="20"/>
          <w:szCs w:val="20"/>
          <w:color w:val="auto"/>
        </w:rPr>
      </w:pPr>
    </w:p>
    <w:p>
      <w:pPr>
        <w:ind w:right="48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shall mean or include each Person who is then a Trustee hereunder.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r>
        <w:rPr>
          <w:rFonts w:ascii="Times New Roman" w:cs="Times New Roman" w:eastAsia="Times New Roman" w:hAnsi="Times New Roman"/>
          <w:sz w:val="18"/>
          <w:szCs w:val="18"/>
          <w:color w:val="auto"/>
        </w:rPr>
        <w:t xml:space="preserve"> Unless the context otherwise requires, any reference to interest or Special Interest on, or in respect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in this Indenture shall be deemed to refer solely to Special Interest (including any Deferred Special Interest and, if applicable, any interest thereon)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context, Special Interest (including any Deferred Special Interest and, if applicable, any interest thereon) is, was or would be payable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Section 4‎.06(d), Section 4‎.06(e) and Section 6‎.03, and/or to any interest payable on any Defaulted Amounts as set forth in Section 2‎.03(c). Unless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context otherwise requires, any express mention of Special Interest, Deferred Special Interest and/or interest thereon in any provision hereof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construed as excluding Special Interest, Deferred Special Interest and/or interest thereon in those provisions hereof where such express mention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r>
        <w:rPr>
          <w:rFonts w:ascii="Times New Roman" w:cs="Times New Roman" w:eastAsia="Times New Roman" w:hAnsi="Times New Roman"/>
          <w:sz w:val="18"/>
          <w:szCs w:val="18"/>
          <w:color w:val="auto"/>
        </w:rPr>
        <w:t xml:space="preserve"> The Notes shall be designated as the “0% Convertible Senior Notes due 2031.” The aggregate principal</w:t>
      </w:r>
    </w:p>
    <w:p>
      <w:pPr>
        <w:spacing w:after="0" w:line="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amount of Notes that may be authenticated and delivered under this Indenture is initially limited to $550,000,000, subject to Section 2‎.10 and except for Notes authenticated and delivered upon registration or transfer of, or in exchange for, or in lieu of other Notes to the extent expressly permitted hereunder.  </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forms set forth in Exhibit A, the terms and provisions of which shall constitute, and are hereby expressly incorporated in and made a part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To the extent applicable, the Company and the Trustee, by their execution and delivery of this Indenture, expressly agree to such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and to be bound thereby. In the case of any conflict between this Indenture and a Note, the provisions of this Indenture shall control and govern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of such conflict.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Notes shall be issued initially in the form of one or more Global Notes. 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executing the same may approve (execution thereof to be conclusive evidence of such approval) and as are not inconsistent with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Indenture, or as may be required to comply with any law or with any rule or regulation made pursuant thereto or with any rule or regulation of any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or automated quotation system on which the Notes may be listed or designated for issuance, or to conform to usage or to indicate any special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 or restrictions to which any particular Notes are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any accrued and unpaid Special Interest on, a Global Note shall be made to the Holder of such Note on the date of payment, unless a record date or other means of determining Holders eligible to receive payment is provided for herein.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Date and Denomination of Notes; No Regular Interest; Special Interest and Defaulted Amounts.</w:t>
      </w:r>
      <w:r>
        <w:rPr>
          <w:rFonts w:ascii="Times New Roman" w:cs="Times New Roman" w:eastAsia="Times New Roman" w:hAnsi="Times New Roman"/>
          <w:sz w:val="18"/>
          <w:szCs w:val="18"/>
          <w:color w:val="auto"/>
        </w:rPr>
        <w:t xml:space="preserve"> (a) The Notes shall be issuable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form without coupons in minimum denominations of $1,000 principal amount and integral multiples of $1,000 in excess thereof. Each Note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dated the date of its authentication and shall not bear regular interest, and the principal amount of the Notes shall not accrete. Special Interest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if any, shall be computed on the basis of a 360-day year composed of twelve 30-day months and, for partial months, on the basis of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actually elapsed in a 30-day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(b)            The Person in whose name any Note (or its Predecessor Note) is registered on the Note Register at the close of business on any Special Interest Record Date with respect to any Special Interest Payment Date shall be entitled to receive the Special Interest payable on such Special Interest Payment Date. The principal amount of any Note (x) in the case of any Physical Note, shall be payable at the office or agency of the Company maintained by the Company for such purposes in the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Special Interest, if any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Holder or, upon application by such a Holder to the Paying Agent not later than the relevant Special Interest Record Date, by wire transfer in immediately available funds to that Holder’s account within the United States if such Holder has provided the Trustee or the Paying Agent (if other than the Trustee) with the requisite information necessary to make such wire transfer, which application shall remain in effect until the Holder notifies, in writing, the Paying Agent to the contrary or (ii) on any Global Note by wire transfer of immediately available funds to the account of the Depositary or its nominee.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Any Defaulted Amounts shall forthwith cease to be payable to the Holder on the relevant payment date and shall not accrue interest unless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Interest was payable pursuant to this Indenture on the relevant payment date, in which case such Defaulted Amounts shall accrue interest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at the then-applicable Special Interest rate borne by the Notes, subject to the enforceability thereof under applicable law, from, and including,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payment date, and such Defaulted Amounts together with any such interest thereon shall be paid by the Company, at its election in each case,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clause (i) or (ii)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972"/>
        <w:spacing w:after="0" w:line="250" w:lineRule="auto"/>
        <w:rPr>
          <w:sz w:val="20"/>
          <w:szCs w:val="20"/>
          <w:color w:val="auto"/>
        </w:rPr>
      </w:pPr>
      <w:r>
        <w:rPr>
          <w:rFonts w:ascii="Times New Roman" w:cs="Times New Roman" w:eastAsia="Times New Roman" w:hAnsi="Times New Roman"/>
          <w:sz w:val="18"/>
          <w:szCs w:val="18"/>
          <w:color w:val="auto"/>
        </w:rPr>
        <w:t>(i)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Company, or the Trustee at the request of and in the name and at the expense of the Company, shall cause notice of the proposed payment of such Defaulted Amounts and the special record date therefor to be delivered to each Holder not less than 10 days prior to such special record date; provided that the Trustee has received such notice from the Company at least three Business Days prior to the date such notice is to be sent (or such shorter period as shall be acceptable to the Trustee).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w:t>
      </w:r>
    </w:p>
    <w:p>
      <w:pPr>
        <w:spacing w:after="0" w:line="6" w:lineRule="exact"/>
        <w:rPr>
          <w:sz w:val="20"/>
          <w:szCs w:val="20"/>
          <w:color w:val="auto"/>
        </w:rPr>
      </w:pPr>
    </w:p>
    <w:p>
      <w:pPr>
        <w:ind w:left="660" w:right="120"/>
        <w:spacing w:after="0" w:line="250" w:lineRule="auto"/>
        <w:rPr>
          <w:sz w:val="20"/>
          <w:szCs w:val="20"/>
          <w:color w:val="auto"/>
        </w:rPr>
      </w:pPr>
      <w:r>
        <w:rPr>
          <w:rFonts w:ascii="Times New Roman" w:cs="Times New Roman" w:eastAsia="Times New Roman" w:hAnsi="Times New Roman"/>
          <w:sz w:val="18"/>
          <w:szCs w:val="18"/>
          <w:color w:val="auto"/>
        </w:rPr>
        <w:t>shall no longer be payable pursuant to the following clause (ii) of this Section 2‎.03‎(c). The Trustee shall have no responsibility whatsoever for the calculation of the Defaulted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180" w:firstLine="972"/>
        <w:spacing w:after="0" w:line="265" w:lineRule="auto"/>
        <w:rPr>
          <w:sz w:val="20"/>
          <w:szCs w:val="20"/>
          <w:color w:val="auto"/>
        </w:rPr>
      </w:pPr>
      <w:r>
        <w:rPr>
          <w:rFonts w:ascii="Times New Roman" w:cs="Times New Roman" w:eastAsia="Times New Roman" w:hAnsi="Times New Roman"/>
          <w:sz w:val="17"/>
          <w:szCs w:val="17"/>
          <w:color w:val="auto"/>
        </w:rPr>
        <w:t>(ii)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 For the avoidance of doubt, the Company may make payment of any Defaulted Amounts and any interest thereon relating to any amounts due upon conversion of the Notes in a</w:t>
      </w:r>
    </w:p>
    <w:p>
      <w:pPr>
        <w:spacing w:after="0" w:line="1" w:lineRule="exact"/>
        <w:rPr>
          <w:sz w:val="20"/>
          <w:szCs w:val="20"/>
          <w:color w:val="auto"/>
        </w:rPr>
      </w:pPr>
    </w:p>
    <w:p>
      <w:pPr>
        <w:ind w:left="660" w:right="100"/>
        <w:spacing w:after="0" w:line="250" w:lineRule="auto"/>
        <w:rPr>
          <w:sz w:val="20"/>
          <w:szCs w:val="20"/>
          <w:color w:val="auto"/>
        </w:rPr>
      </w:pPr>
      <w:r>
        <w:rPr>
          <w:rFonts w:ascii="Times New Roman" w:cs="Times New Roman" w:eastAsia="Times New Roman" w:hAnsi="Times New Roman"/>
          <w:sz w:val="18"/>
          <w:szCs w:val="18"/>
          <w:color w:val="auto"/>
        </w:rPr>
        <w:t>manner other than as provided in Section 2‎.03(c)(i) if such manner would be permitted under the terms of this Indenture if such amounts due upon conversion were not Defaulted Amounts or default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r>
        <w:rPr>
          <w:rFonts w:ascii="Times New Roman" w:cs="Times New Roman" w:eastAsia="Times New Roman" w:hAnsi="Times New Roman"/>
          <w:sz w:val="18"/>
          <w:szCs w:val="18"/>
          <w:color w:val="auto"/>
        </w:rPr>
        <w:t xml:space="preserve"> The Notes shall be signed in the name and on behalf of the Company by the manual or facsimile or other electronic signature of its Chief Executive Officer, Chief Operating Officer, Chief Financial Officer or Secretary.  </w:t>
      </w:r>
    </w:p>
    <w:p>
      <w:pPr>
        <w:spacing w:after="0" w:line="20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17.05, upon request of the Trustee, the Trustee shall receive an Officers’ Certificate and an Opinion of Counsel of the Company with respect to the issuance, authentication and delivery of such Notes.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executed manually by an authorized signatory of the Trustee (or an authenticating agent appointed by the Trustee as provided by Section 17‎.10),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entitled to the benefits of this Indenture or be valid or obligatory for any purpose. Such certificate by the Trustee (or such an authenticating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any Note executed by the Company shall be conclusive evidence that the Note so authenticated has been duly authenticated and delivered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the Holder is entitled to the benefits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Restrictions on Transfer; Depositary.</w:t>
      </w:r>
      <w:r>
        <w:rPr>
          <w:rFonts w:ascii="Times New Roman" w:cs="Times New Roman" w:eastAsia="Times New Roman" w:hAnsi="Times New Roman"/>
          <w:sz w:val="18"/>
          <w:szCs w:val="18"/>
          <w:color w:val="auto"/>
        </w:rPr>
        <w:t xml:space="preserve"> (a) The Company shall cause to be kept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Trust Office a register (the register maintained in such office or in any other office or agency of the Company designated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of transfers of Notes. Such register shall be in written form or in any form capable of being converted into written form within a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time. The Trustee is hereby initially appointed the “</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for the purpose of registering Notes and transfers of Notes as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The Company may appoint one or more co-Note Registrars in accordance with Section 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transfer set forth in this ‎Section 2.05, the Company shall execute, and the Trustee shall authenticate and deliver, in the name of the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or transferees, one or more new Notes of any authorized denominations and of a like aggregate principal amount and bearing such restrictive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legends as may be required by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Notes may be exchanged for other Notes of any authorized denominations and of a like aggregate principal amount, upon surrender of the Notes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exchanged at any such office or agency maintained by the Company pursuant to ‎Section 4.02. Whenever any Notes are so surrendered for exchange,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execute, and the Trustee shall authenticate and deliver, the Notes that the Holder making the exchange is entitled to receive, bearing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numbers not contemporaneously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attached hereto as an exhibit to the Form of Note and duly executed, by the Holder thereof or its attorney-in-fact duly authorized in writing.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No service charge shall be imposed by the Company, the Trustee, the Note Registrar, any co-Note Registrar or the Paying Agent for any exchange or registration of transfer of Notes, but the Company and the Trustee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  </w:t>
      </w:r>
    </w:p>
    <w:p>
      <w:pPr>
        <w:spacing w:after="0" w:line="20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w:t>
      </w:r>
    </w:p>
    <w:p>
      <w:pPr>
        <w:spacing w:after="0"/>
        <w:rPr>
          <w:sz w:val="20"/>
          <w:szCs w:val="20"/>
          <w:color w:val="auto"/>
        </w:rPr>
      </w:pPr>
      <w:r>
        <w:rPr>
          <w:rFonts w:ascii="Times New Roman" w:cs="Times New Roman" w:eastAsia="Times New Roman" w:hAnsi="Times New Roman"/>
          <w:sz w:val="18"/>
          <w:szCs w:val="18"/>
          <w:color w:val="auto"/>
        </w:rPr>
        <w:t>with Article 16,‎ except the unredeemed portion of any Note being redeemed in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any proposed transfer involving Physical Notes, or any exchange of Global Notes for Physical Notes, the transferor shall provide or cause to be provided to the Trustee all information necessary to allow the Trustee to comply with any applicable tax reporting obligations, including without limitation any cost basis reporting obligations under Internal Revenue Code Section 6045. The Trustee may rely on the information provided to it and shall have no responsibility to verify or ensure the accuracy of such information.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evidencing the same debt, and entitled to the same benefits under this Indenture as the Notes surrendered upon such registration of transfer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            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Every Note that bears or is required under this ‎Section 2.05(c) to bear the legend set forth in this ‎Section 2.05(c) (together with any Common</w:t>
      </w:r>
    </w:p>
    <w:p>
      <w:pPr>
        <w:spacing w:after="0" w:line="2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Stock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  </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Until the date (the “</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any, issued upon conversion thereof, which shall bear the legend set forth in Section 2‎.05(d), if applicable) shall bear a legend in substantially the following form (unless such Notes have been transferred pursuant to a registration statement that has become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  </w:t>
      </w:r>
    </w:p>
    <w:p>
      <w:pPr>
        <w:spacing w:after="0" w:line="207" w:lineRule="exact"/>
        <w:rPr>
          <w:sz w:val="20"/>
          <w:szCs w:val="20"/>
          <w:color w:val="auto"/>
        </w:rPr>
      </w:pPr>
    </w:p>
    <w:p>
      <w:pPr>
        <w:ind w:right="400" w:firstLine="648"/>
        <w:spacing w:after="0" w:line="253"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  </w:t>
      </w:r>
    </w:p>
    <w:p>
      <w:pPr>
        <w:spacing w:after="0" w:line="207"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(1)            REPRESENTS THAT IT AND ANY ACCOUNT FOR WHICH IT IS ACTING IS A “QUALIFIED INSTITUTIONAL BUYER” (WITHIN THE MEANING OF RULE 144A UNDER THE SECURITIES ACT) AND THAT IT EXERCISES SOLE INVESTMENT DISCRETION WITH RESPECT TO EACH SUCH ACCOUNT,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140" w:firstLine="648"/>
        <w:spacing w:after="0" w:line="250" w:lineRule="auto"/>
        <w:rPr>
          <w:sz w:val="20"/>
          <w:szCs w:val="20"/>
          <w:color w:val="auto"/>
        </w:rPr>
      </w:pPr>
      <w:r>
        <w:rPr>
          <w:rFonts w:ascii="Times New Roman" w:cs="Times New Roman" w:eastAsia="Times New Roman" w:hAnsi="Times New Roman"/>
          <w:sz w:val="18"/>
          <w:szCs w:val="18"/>
          <w:color w:val="auto"/>
        </w:rPr>
        <w:t>(2)            AGREES FOR THE BENEFIT OF PTC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DATE OF ORIGINAL ISSUANCE HEREOF OR SUCH SHORTER PERIOD OF TIME AS PERMITTED BY RULE 144 UNDER THE SECURITIES ACT OR ANY SUCCESSOR PROVISION THERETO AND (Y) SUCH LATER DATE, IF ANY, AS MAY BE REQUIRED BY APPLICABLE LAW, EXCEPT: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TO THE COMPANY OR ANY SUBSIDIARY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140" w:firstLine="648"/>
        <w:spacing w:after="0" w:line="260" w:lineRule="auto"/>
        <w:rPr>
          <w:sz w:val="20"/>
          <w:szCs w:val="20"/>
          <w:color w:val="auto"/>
        </w:rPr>
      </w:pPr>
      <w:r>
        <w:rPr>
          <w:rFonts w:ascii="Times New Roman" w:cs="Times New Roman" w:eastAsia="Times New Roman" w:hAnsi="Times New Roman"/>
          <w:sz w:val="18"/>
          <w:szCs w:val="18"/>
          <w:color w:val="auto"/>
        </w:rPr>
        <w:t>(B)            PURSUANT TO A REGISTRATION STATEMENT THAT HAS BECOME EFFECTIVE UNDER THE SECURITIES ACT, OR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right="200" w:firstLine="648"/>
        <w:spacing w:after="0" w:line="250" w:lineRule="auto"/>
        <w:rPr>
          <w:sz w:val="20"/>
          <w:szCs w:val="20"/>
          <w:color w:val="auto"/>
        </w:rPr>
      </w:pPr>
      <w:r>
        <w:rPr>
          <w:rFonts w:ascii="Times New Roman" w:cs="Times New Roman" w:eastAsia="Times New Roman" w:hAnsi="Times New Roman"/>
          <w:sz w:val="18"/>
          <w:szCs w:val="18"/>
          <w:color w:val="auto"/>
        </w:rPr>
        <w:t>(C)            TO A PERSON REASONABLY BELIEVED TO BE A QUALIFIED INSTITUTIONAL BUYER IN COMPLIANCE WITH RULE 144A UNDER THE SECURITIES ACT,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40" w:firstLine="648"/>
        <w:spacing w:after="0" w:line="265" w:lineRule="auto"/>
        <w:rPr>
          <w:sz w:val="20"/>
          <w:szCs w:val="20"/>
          <w:color w:val="auto"/>
        </w:rPr>
      </w:pPr>
      <w:r>
        <w:rPr>
          <w:rFonts w:ascii="Times New Roman" w:cs="Times New Roman" w:eastAsia="Times New Roman" w:hAnsi="Times New Roman"/>
          <w:sz w:val="17"/>
          <w:szCs w:val="17"/>
          <w:color w:val="auto"/>
        </w:rPr>
        <w:t>(D)            PURSUANT TO AN EXEMPTION FROM REGISTRATION PROVIDED BY RULE 144 UNDER THE SECURITIES ACT OR ANY OTHER AVAILABLE EXEMPTION FROM THE REGISTRATION REQUIREMENTS OF THE SECURITIES ACT.</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transfer of any Note prior to the Resale Restriction Termination Date will be registered by the Note Registrar unless the applicable box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Transfer has been checked.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Note (or security issued in exchange or substitution therefor) (i) as to which such restrictions on transfer shall have expired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their terms, (ii) that has been transferred pursuant to a registration statement that has become effective under the Securities Act and that continues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at the time of such transfer or (iii) that has been sold pursuant to the exemption from registration provided by Rule 144 or any similar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force under the Securities Act, may, upon surrender of such Note for exchange to the Note Registrar in accordance with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2‎.05, be exchanged for a new Note or Notes, of like tenor and aggregate principal amount, which shall not bear the restrictive legend required by</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Section 2‎.05(c) and shall not be assigned a restricted CUSIP number. In the case of the registration of any transfer of the Notes or the Common Stock, if any, issuable upon conversion of the Notes, pursuant to an exemption from registration provided by Rule 144 or any other available exemption from the registration requirements of the Securities Act prior to the Resale Restriction Termination Date, the Company and the Trustee reserve the right to require the delivery of such legal opinions, certifications or other evidence as may reasonably be required stating that the proposed transfer is being made in compliance with the Securities Act and applicable state securities laws. The restrictive legend set forth above and affixed on any Note will be deemed, in accordance with the terms of the certificate representing such Note, to be removed therefrom upon the Company’s delivery to the Trustee of written notice to such effect (and, for the avoidance of doubt, such notice need not be accompanied by an Officers’ Certificate or an Opinion of Counsel in order to be effective to cause such restrictive legend to be deemed to be removed from such Note), without further action by the Company, the Trustee, the Holder(s) thereof or any other Person other than as specified in ‎Section 4.06(e). Subject to ‎Section 4.06(e), if such Note bears a “restricted” CUSIP number</w:t>
      </w:r>
    </w:p>
    <w:p>
      <w:pPr>
        <w:spacing w:after="0" w:line="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at the time of such delivery, then, upon such delivery, such Note will be deemed, pursuant to this Section 2‎.05(c) and the footnote to the CUSIP number set forth on the face of the certificate representing such Note, to thereafter bear the “unrestricted” CUSIP number identified in such footnote.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17"/>
          <w:szCs w:val="17"/>
          <w:color w:val="auto"/>
        </w:rPr>
        <w:t>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w:t>
      </w:r>
    </w:p>
    <w:p>
      <w:pPr>
        <w:spacing w:after="0"/>
        <w:rPr>
          <w:sz w:val="20"/>
          <w:szCs w:val="20"/>
          <w:color w:val="auto"/>
        </w:rPr>
      </w:pPr>
      <w:r>
        <w:rPr>
          <w:rFonts w:ascii="Times New Roman" w:cs="Times New Roman" w:eastAsia="Times New Roman" w:hAnsi="Times New Roman"/>
          <w:sz w:val="18"/>
          <w:szCs w:val="18"/>
          <w:color w:val="auto"/>
        </w:rPr>
        <w:t>Note for exchange; and any new Global Note so exchanged therefor shall not bear the restrictive legend specified in this Section 2‎.05(c) and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assigned a restricted CUSIP number;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Depositary of any Global Note may require a mandatory exchange or other process to cause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to be identified by an unrestricted CUSIP number in the facilities of such Depositary. The Company shall promptly notify the Trustee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upon the occurrence of the Resale Restriction Termination Date and promptly after a registration statement, if any, with respect to the Notes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issued upon conversion of the Notes has become effective under the Securities Act. Any exchange pursuant to the foregoing paragraph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in accordance with the applicable procedures of the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  </w:t>
      </w:r>
    </w:p>
    <w:p>
      <w:pPr>
        <w:spacing w:after="0" w:line="20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(i) the Depositary notifies the Company at any time that the Depositary is unwilling or unable to continue as depositary for the Global Notes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successor depositary is not appointed within 90 days, (ii) the Depositary ceases to be registered as a clearing agency under the Exchange Act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depositary is not appointed within 90 days or (iii) an Event of Default with respect to the Notes has occurred and is continuing and a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of any Note requests that its beneficial interest therein be issued as a Physical Note, the Company shall execute, and the Trustee, upon receipt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 and a Company Order for the authentication and delivery of Notes, shall authenticate and deliver (x) in the case of clause (iii),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Physical Note to such beneficial owner in a principal amount equal to the principal amount of such Note corresponding to such beneficial owner’s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interest and (y) in the case of clause (i) or (ii), Physical Notes to each beneficial owner of the related Global Notes (or a portion thereof)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equal to the aggregate principal amount of such Global Notes in exchange for such Global Notes, and upon delivery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Notes to the Trustee such Global Notes shall be canceled.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redeemed or transferred, such Global Note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receipt thereof, canceled by the Trustee in accordance with standing procedures and existing instructions between the Depositary and the Custodian.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prior to such cancellation, if any interest in a Global Note is exchanged for Physical Notes, converted, canceled, repurchased, redeemed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to a transferee who receives Physical Notes therefor or any Physical Note is exchanged or transferred for part of such Global Note,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such Global Note shall, in accordance with the standing procedures and instructions existing between the Depositary and the Custodian,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appropriately reduced or increased, as the case may be, and an endorsement shall be made on such Global Note, by the Trustee or the Custodian,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direction of the Trustee, to reflect such reduction or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None of the Company, the Trustee, the Paying Agent, the Conversion Agent, the Note Registrar or any agent of the Company or the Trustee shall have any responsibility or liability for any aspect of the records relating to or payments made on account of beneficial ownership interests of a Global Note or maintaining, supervising or reviewing any records relating to such beneficial ownership interests. None of the Company, the Trustee, the Paying Agent, the Conversion Agent, the Note Registrar or any agent of the Company or the Trustee shall have any responsibility or liability for any act or omission of the Depositary.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the Company nor the Trustee shall have any responsibility or liability for any act or omission of the Depositary. All notices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communications to be given to the Holders and all payments to be made to Holders in respect of the Notes shall be given or made only to, or upon the order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registered Holder(s), which shall be the Depositary or its nominee in the case of a Global Note. The Trustee shall have no obligation or duty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 determine or inquire as to compliance with any securities laws or restrictions on transfer imposed under this Indenture or under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transfer of any interest in any Note (including any transfers between or among Depositary participants or beneficial owners of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Global Note) other than to require delivery of such certificates and other documentation or evidence as are expressly required by, and to do so if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expressly required by the terms of, this Indenture, and to examine the same to determine substantial compliance as to form with the express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Except as set forth in the fourth and fifth immediately preceding paragraphs, the rights of beneficial owners in any Global Note shall be exercised only through the Depositary subject to the applicable procedures of the Depositary. The Trustee may rely and shall be fully protected in relying upon information furnished by the Depositary with respect to its members, participants and beneficial owners.  </w:t>
      </w:r>
    </w:p>
    <w:p>
      <w:pPr>
        <w:spacing w:after="0" w:line="204"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(d)            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  </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  </w:t>
      </w:r>
    </w:p>
    <w:p>
      <w:pPr>
        <w:spacing w:after="0" w:line="204"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(1)            REPRESENTS THAT IT AND ANY ACCOUNT FOR WHICH IT IS ACTING IS A “QUALIFIED INSTITUTIONAL BUYER” (WITHIN THE MEANING OF RULE 144A UNDER THE SECURITIES ACT) AND THAT IT EXERCISES SOLE INVESTMENT DISCRETION WITH RESPECT TO EACH SUCH ACCOUNT,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80" w:firstLine="648"/>
        <w:spacing w:after="0" w:line="250" w:lineRule="auto"/>
        <w:rPr>
          <w:sz w:val="20"/>
          <w:szCs w:val="20"/>
          <w:color w:val="auto"/>
        </w:rPr>
      </w:pPr>
      <w:r>
        <w:rPr>
          <w:rFonts w:ascii="Times New Roman" w:cs="Times New Roman" w:eastAsia="Times New Roman" w:hAnsi="Times New Roman"/>
          <w:sz w:val="18"/>
          <w:szCs w:val="18"/>
          <w:color w:val="auto"/>
        </w:rPr>
        <w:t>(2)            AGREES FOR THE BENEFIT OF PTC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DATE OF ORIGINAL ISSUANCE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TO THE COMPANY OR ANY SUBSIDIARY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120" w:firstLine="648"/>
        <w:spacing w:after="0" w:line="250" w:lineRule="auto"/>
        <w:rPr>
          <w:sz w:val="20"/>
          <w:szCs w:val="20"/>
          <w:color w:val="auto"/>
        </w:rPr>
      </w:pPr>
      <w:r>
        <w:rPr>
          <w:rFonts w:ascii="Times New Roman" w:cs="Times New Roman" w:eastAsia="Times New Roman" w:hAnsi="Times New Roman"/>
          <w:sz w:val="18"/>
          <w:szCs w:val="18"/>
          <w:color w:val="auto"/>
        </w:rPr>
        <w:t>(B)            PURSUANT TO A REGISTRATION STATEMENT THAT HAS BECOME EFFECTIVE UNDER THE SECURITIES ACT,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right="180" w:firstLine="648"/>
        <w:spacing w:after="0" w:line="250" w:lineRule="auto"/>
        <w:rPr>
          <w:sz w:val="20"/>
          <w:szCs w:val="20"/>
          <w:color w:val="auto"/>
        </w:rPr>
      </w:pPr>
      <w:r>
        <w:rPr>
          <w:rFonts w:ascii="Times New Roman" w:cs="Times New Roman" w:eastAsia="Times New Roman" w:hAnsi="Times New Roman"/>
          <w:sz w:val="18"/>
          <w:szCs w:val="18"/>
          <w:color w:val="auto"/>
        </w:rPr>
        <w:t>(C)            TO A PERSON REASONABLY BELIEVED TO BE A QUALIFIED INSTITUTIONAL BUYER IN COMPLIANCE WITH RULE 144A UNDER THE SECURITIES ACT,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20" w:firstLine="648"/>
        <w:spacing w:after="0" w:line="265" w:lineRule="auto"/>
        <w:rPr>
          <w:sz w:val="20"/>
          <w:szCs w:val="20"/>
          <w:color w:val="auto"/>
        </w:rPr>
      </w:pPr>
      <w:r>
        <w:rPr>
          <w:rFonts w:ascii="Times New Roman" w:cs="Times New Roman" w:eastAsia="Times New Roman" w:hAnsi="Times New Roman"/>
          <w:sz w:val="17"/>
          <w:szCs w:val="17"/>
          <w:color w:val="auto"/>
        </w:rPr>
        <w:t>(D)            PURSUANT TO AN EXEMPTION FROM REGISTRATION PROVIDED BY RULE 144 UNDER THE SECURITIES ACT OR ANY OTHER AVAILABLE EXEMPTION FROM THE REGISTRATION REQUIREMENTS OF THE SECURITIES ACT.</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FOR THE COMPANY’S COMMON STOCK RESERVE THE RIGHT TO REQUIRE THE DELIVERY OF SUCH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OPINIONS, CERTIFICATIONS OR OTHER EVIDENCE AS MAY REASONABLY BE REQUIRED IN ORDER TO DETERMINE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PROPOSED TRANSFER IS BEING MADE IN COMPLIANCE WITH THE SECURITIES ACT AND APPLICABLE STATE SECURITIES LAWS. NO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IS MADE AS TO THE AVAILABILITY OF ANY EXEMPTION FROM THE REGISTRATION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20" w:firstLine="648"/>
        <w:spacing w:after="0" w:line="265" w:lineRule="auto"/>
        <w:rPr>
          <w:sz w:val="20"/>
          <w:szCs w:val="20"/>
          <w:color w:val="auto"/>
        </w:rPr>
      </w:pPr>
      <w:r>
        <w:rPr>
          <w:rFonts w:ascii="Times New Roman" w:cs="Times New Roman" w:eastAsia="Times New Roman" w:hAnsi="Times New Roman"/>
          <w:sz w:val="17"/>
          <w:szCs w:val="17"/>
          <w:color w:val="auto"/>
        </w:rPr>
        <w:t>Any such Common Stock (i) as to which such restrictions on transfer shall have expired in accordance with their terms, (ii) that has been transferred pursuant to a registration statement that has become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bear the restrictive legend required by this Section 2‎.05(d).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Any Note or Common Stock issued upon the conversion or exchange of a Note that is repurchased or owned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of the Company (or any Person who was an Affiliate of the Company at any time during the three months immediately preceding)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resold by the Company or such Affiliate (or such Person, as the case may be) unless registered under the Securities Act or resold pursuant to an exemption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registration requirements of the Securities Act in a transaction that results in such Note or Common Stock, as the case may be, no longer being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security” (as defined under Rule 144).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Notwithstanding anything contained herein to the contrary, neither the Trustee nor the Note Registrar shall be responsible for ascertaining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any transfer complies with the registration provisions of, or exemptions from, the Securities Act, applicable state securities law or other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discretion may execute, and upon receipt of a Company Order the Trustee or an authenticating agent appointed by the Trustee shall authenticate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a new Note, bearing a registration number not contemporaneously outstanding, in exchange and substitution for the mutilated Note, or in lieu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substitution for the Note so destroyed, lost or stolen. In every case the applicant for a substituted Note shall furnish to the Company, to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applicable, to such authenticating agent such security or indemnity as may be required by them to save each of them harmless from any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liability, cost or expense caused by or connected with such substitution, and, in every case of destruction, loss or theft, the applicant shall also furnish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the Trustee and, if applicable, to such authenticating agent evidence to their satisfaction of the destruction, loss or theft of such Note and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ownership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The Trustee or such authenticating agent may authenticate any such substituted Note and deliver the same upon the receipt of a Company Order and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w:t>
      </w:r>
    </w:p>
    <w:p>
      <w:pPr>
        <w:spacing w:after="0" w:line="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  </w:t>
      </w:r>
    </w:p>
    <w:p>
      <w:pPr>
        <w:spacing w:after="0" w:line="208"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  </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Section 2.07</w:t>
      </w:r>
      <w:r>
        <w:rPr>
          <w:rFonts w:ascii="Times New Roman" w:cs="Times New Roman" w:eastAsia="Times New Roman" w:hAnsi="Times New Roman"/>
          <w:sz w:val="17"/>
          <w:szCs w:val="17"/>
          <w:i w:val="1"/>
          <w:iCs w:val="1"/>
          <w:color w:val="auto"/>
        </w:rPr>
        <w:t>. Temporary Notes.</w:t>
      </w:r>
      <w:r>
        <w:rPr>
          <w:rFonts w:ascii="Times New Roman" w:cs="Times New Roman" w:eastAsia="Times New Roman" w:hAnsi="Times New Roman"/>
          <w:sz w:val="17"/>
          <w:szCs w:val="17"/>
          <w:color w:val="auto"/>
        </w:rPr>
        <w:t xml:space="preserve"> Pending the preparation of Physical Notes, the Company may execute and the Trustee or an authenticating agent appointed by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maintained by the Company pursuant to Section 4‎.02 and the Trustee or such authenticating agent shall authenticate and deliver in exchange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Notes an equal aggregate principal amount of Physical Notes. Such exchange shall be made by the Company at its own expense and without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 therefor. Until so exchanged, the temporary Notes shall in all respects be entitled to the same benefits and subject to the same limitations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as Physical Notes authenticated and delivered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r>
        <w:rPr>
          <w:rFonts w:ascii="Times New Roman" w:cs="Times New Roman" w:eastAsia="Times New Roman" w:hAnsi="Times New Roman"/>
          <w:sz w:val="18"/>
          <w:szCs w:val="18"/>
          <w:color w:val="auto"/>
        </w:rPr>
        <w:t xml:space="preserve"> The Company shall cause all Notes surrendered for the purpose of payment at maturity, repurchase upon a Fundamental Change, redemption, registration of transfer or exchange or conversion, if surrendered to any Person other than the Trustee (including any of the Company’s agents, Subsidiaries or Affiliates), to be surrendered to the Trustee for cancellation. All such Notes delivered to the Trustee for cancellation shall be canceled by it in accordance with its customary procedures upon receipt of a written cancellation order from the Company. Except for any Notes surrendered for registration of transfer or exchange, or as otherwise expressly permitted by any of the provisions of this Indenture, no Notes shall be authenticated in exchange for any Notes surrendered to the Trustee for cancellation.  </w:t>
      </w:r>
    </w:p>
    <w:p>
      <w:pPr>
        <w:spacing w:after="0" w:line="208"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Section 2.09</w:t>
      </w:r>
      <w:r>
        <w:rPr>
          <w:rFonts w:ascii="Times New Roman" w:cs="Times New Roman" w:eastAsia="Times New Roman" w:hAnsi="Times New Roman"/>
          <w:sz w:val="18"/>
          <w:szCs w:val="18"/>
          <w:i w:val="1"/>
          <w:iCs w:val="1"/>
          <w:color w:val="auto"/>
        </w:rPr>
        <w:t>. CUSIP Numbers.</w:t>
      </w:r>
      <w:r>
        <w:rPr>
          <w:rFonts w:ascii="Times New Roman" w:cs="Times New Roman" w:eastAsia="Times New Roman" w:hAnsi="Times New Roman"/>
          <w:sz w:val="18"/>
          <w:szCs w:val="18"/>
          <w:color w:val="auto"/>
        </w:rPr>
        <w:t xml:space="preserve"> The Company in issuing the Notes may use CUSIP numbers (if then generally in use), and, if so, the Company and/or the Trustee shall use CUSIP numbers in all notices issued to Holders as a convenience to such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for any defect in the CUSIP number as they appear on any Notes, notice or elsewhere and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i w:val="1"/>
          <w:iCs w:val="1"/>
          <w:color w:val="auto"/>
        </w:rPr>
        <w:t>. Additional Notes; Repurchases.</w:t>
      </w:r>
      <w:r>
        <w:rPr>
          <w:rFonts w:ascii="Times New Roman" w:cs="Times New Roman" w:eastAsia="Times New Roman" w:hAnsi="Times New Roman"/>
          <w:sz w:val="18"/>
          <w:szCs w:val="18"/>
          <w:color w:val="auto"/>
        </w:rPr>
        <w:t xml:space="preserve"> The Company may, without the consent of, or notice to, the Holders and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 reopen this Indenture and issue additional Notes hereunder with the same terms as the Notes initially issued hereunder (other than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issue date, the issue price, Special Interest, if any, accrued prior to the issue date of such additional Notes, and, if applicable, restrictions on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respect of such additional Notes, including the date by which any restrictive legends must be removed) in an unlimited aggregate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any such additional Notes are not fungible with the Notes initially issued hereunder for U.S. federal income tax purposes or securities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such additional Notes shall have one or more separate CUSIP numbers or no CUSIP number. Prior to the issuance of any such additional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deliver to the Trustee a Company Order, an Officers’ Certificate and an Opinion of Counsel, such Officers’ Certificate and Opinion of</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Counsel to cover such matters, in addition to those required by Section 17‎.05, as the Trustee shall reasonably request. In addition, the Company may, to the extent permitted by law, and, without the consent of Holders,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The Company may, at its option and to the extent permitted by applicable law, reissue, resell or surrender to the Trustee for cancellation in accordance with ‎Section 2.08 any Notes that the Company may repurchase other than Notes repurchased in connection with a Fundamental Change (and in the case of a reissuance or resale, so long as such Notes do not constitute “restricted securities” (as defined under Rule 144) upon such reissuance or resale;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reissued or resold Notes are not fungible with the Notes issued on the date hereof under this Indenture for U.S. federal income tax purposes, such reissued or resold Notes shall have one or more separate CUSIP numbers or no CUSIP number). Any Notes that the Company may repurchase, other than Notes repurchased in connection with a Fundamental Change, shall be considered outstanding under this Indenture (except for voting purposes) unless and until such time the Company surrenders them to the Trustee for cancellation and, upon receipt of a Company Order, the Trustee shall cancel all Notes so surrendered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Section 2‎.08.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3</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40" w:firstLine="648"/>
        <w:spacing w:after="0" w:line="265" w:lineRule="auto"/>
        <w:rPr>
          <w:sz w:val="20"/>
          <w:szCs w:val="20"/>
          <w:color w:val="auto"/>
        </w:rPr>
      </w:pPr>
      <w:r>
        <w:rPr>
          <w:rFonts w:ascii="Times New Roman" w:cs="Times New Roman" w:eastAsia="Times New Roman" w:hAnsi="Times New Roman"/>
          <w:sz w:val="17"/>
          <w:szCs w:val="17"/>
          <w:color w:val="auto"/>
        </w:rPr>
        <w:t>Section 3.01</w:t>
      </w:r>
      <w:r>
        <w:rPr>
          <w:rFonts w:ascii="Times New Roman" w:cs="Times New Roman" w:eastAsia="Times New Roman" w:hAnsi="Times New Roman"/>
          <w:sz w:val="17"/>
          <w:szCs w:val="17"/>
          <w:i w:val="1"/>
          <w:iCs w:val="1"/>
          <w:color w:val="auto"/>
        </w:rPr>
        <w:t>. Satisfaction and Discharge.</w:t>
      </w:r>
      <w:r>
        <w:rPr>
          <w:rFonts w:ascii="Times New Roman" w:cs="Times New Roman" w:eastAsia="Times New Roman" w:hAnsi="Times New Roman"/>
          <w:sz w:val="17"/>
          <w:szCs w:val="17"/>
          <w:color w:val="auto"/>
        </w:rPr>
        <w:t xml:space="preserve"> 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w:t>
      </w:r>
    </w:p>
    <w:p>
      <w:pPr>
        <w:spacing w:after="0" w:line="250" w:lineRule="auto"/>
        <w:rPr>
          <w:sz w:val="20"/>
          <w:szCs w:val="20"/>
          <w:color w:val="auto"/>
        </w:rPr>
      </w:pPr>
      <w:r>
        <w:rPr>
          <w:rFonts w:ascii="Times New Roman" w:cs="Times New Roman" w:eastAsia="Times New Roman" w:hAnsi="Times New Roman"/>
          <w:sz w:val="18"/>
          <w:szCs w:val="18"/>
          <w:color w:val="auto"/>
        </w:rPr>
        <w:t>(x)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the transfer agent for the Common Stock or delivered to Holders, as applicable, after the Notes have become due and payable, whether on the Maturity Date, any Redemption Date, any Fundamental Change Repurchase Date, upon conversion or otherwise, cash or cash, shares of Common Stock or a combination thereof, as applicable,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and the Notes, the obligations of the Company to the Trustee under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7‎.06 shall survive.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Interest.</w:t>
      </w:r>
      <w:r>
        <w:rPr>
          <w:rFonts w:ascii="Times New Roman" w:cs="Times New Roman" w:eastAsia="Times New Roman" w:hAnsi="Times New Roman"/>
          <w:sz w:val="18"/>
          <w:szCs w:val="18"/>
          <w:color w:val="auto"/>
        </w:rPr>
        <w:t xml:space="preserve"> The Company covenants and agrees that it will pay, or cause the Paying Agent to pay, the principal (including the Redemption Price and the Fundamental Change Repurchase Price, if applicable) of, any accrued and unpaid Special Interest on, and consideration due upon conversion of, each of the Notes at the places, at the respective times and in the manner provided herein and in the Notes.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4.02</w:t>
      </w:r>
      <w:r>
        <w:rPr>
          <w:rFonts w:ascii="Times New Roman" w:cs="Times New Roman" w:eastAsia="Times New Roman" w:hAnsi="Times New Roman"/>
          <w:sz w:val="18"/>
          <w:szCs w:val="18"/>
          <w:i w:val="1"/>
          <w:iCs w:val="1"/>
          <w:color w:val="auto"/>
        </w:rPr>
        <w:t>. Maintenance of Office or Agency.</w:t>
      </w:r>
      <w:r>
        <w:rPr>
          <w:rFonts w:ascii="Times New Roman" w:cs="Times New Roman" w:eastAsia="Times New Roman" w:hAnsi="Times New Roman"/>
          <w:sz w:val="18"/>
          <w:szCs w:val="18"/>
          <w:color w:val="auto"/>
        </w:rPr>
        <w:t xml:space="preserve"> The Company will maintain in the United States of America, an office or agency where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and where notices and demands to or upon the Company in respect of the Notes and this Indenture may be served.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change the location of the Paying Agent or the Conversion Agent within the contiguous United States, without providing prior notice to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will give prompt written notice to the Trustee of the location, and any change in the location, of such office or agency. If at any time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 to maintain any such required office or agency or shall fail to furnish the Trustee with the address thereof, such presentations, surrenders, notices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demands may be made or served at the Corporate Trust Office or the office or agency of the Trustee in the United States of America;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Trustee shall not be deemed an agent of the Company for service of legal process. The Company may serve as Paying Agent or Conversion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 The Company may serve as Note Registrar. The terms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include any such additional or other offices or agencies, as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Office as the office or agency in the United States of America, where Notes may be surrendered for registration of transfer or exchange or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 for payment or repurchase or for conversion and where notices and demands to or upon the Company in respect of the Notes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may be 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20" w:firstLine="648"/>
        <w:spacing w:after="0" w:line="260"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Appointments to Fill Vacancies in the Trustee’s Role.</w:t>
      </w:r>
      <w:r>
        <w:rPr>
          <w:rFonts w:ascii="Times New Roman" w:cs="Times New Roman" w:eastAsia="Times New Roman" w:hAnsi="Times New Roman"/>
          <w:sz w:val="18"/>
          <w:szCs w:val="18"/>
          <w:color w:val="auto"/>
        </w:rPr>
        <w:t xml:space="preserve"> The Company, whenever necessary to avoid or fill a vacancy in the role of Trustee, will appoint, in the manner provided in ‎Section 7.09, a Trustee, so that there shall at all times be a Trustee hereunder.  </w:t>
      </w:r>
    </w:p>
    <w:p>
      <w:pPr>
        <w:spacing w:after="0" w:line="20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r>
        <w:rPr>
          <w:rFonts w:ascii="Times New Roman" w:cs="Times New Roman" w:eastAsia="Times New Roman" w:hAnsi="Times New Roman"/>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40" w:firstLine="972"/>
        <w:spacing w:after="0" w:line="250" w:lineRule="auto"/>
        <w:rPr>
          <w:sz w:val="20"/>
          <w:szCs w:val="20"/>
          <w:color w:val="auto"/>
        </w:rPr>
      </w:pPr>
      <w:r>
        <w:rPr>
          <w:rFonts w:ascii="Times New Roman" w:cs="Times New Roman" w:eastAsia="Times New Roman" w:hAnsi="Times New Roman"/>
          <w:sz w:val="18"/>
          <w:szCs w:val="18"/>
          <w:color w:val="auto"/>
        </w:rPr>
        <w:t>(i)            that it will hold all sums held by it as such agent for the payment of the principal (including the Redemption Price and the Fundamental Change Repurchase Price, if applicable) of, any accrued and unpaid Special Interest on, and consideration due upon conversion of the Notes in trust for the benefit of the Holders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972"/>
        <w:spacing w:after="0" w:line="250" w:lineRule="auto"/>
        <w:rPr>
          <w:sz w:val="20"/>
          <w:szCs w:val="20"/>
          <w:color w:val="auto"/>
        </w:rPr>
      </w:pPr>
      <w:r>
        <w:rPr>
          <w:rFonts w:ascii="Times New Roman" w:cs="Times New Roman" w:eastAsia="Times New Roman" w:hAnsi="Times New Roman"/>
          <w:sz w:val="18"/>
          <w:szCs w:val="18"/>
          <w:color w:val="auto"/>
        </w:rPr>
        <w:t>(ii)            that it will give the Trustee prompt written notice of any failure by the Company to make any payment of the principal (including the Redemption Price and the Fundamental Change Repurchase Price, if applicable) of, any accrued and unpaid Special Interest on, and consideration due upon conversion of the Notes when the same shall be due and payable;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580" w:firstLine="972"/>
        <w:spacing w:after="0" w:line="250" w:lineRule="auto"/>
        <w:rPr>
          <w:sz w:val="20"/>
          <w:szCs w:val="20"/>
          <w:color w:val="auto"/>
        </w:rPr>
      </w:pPr>
      <w:r>
        <w:rPr>
          <w:rFonts w:ascii="Times New Roman" w:cs="Times New Roman" w:eastAsia="Times New Roman" w:hAnsi="Times New Roman"/>
          <w:sz w:val="18"/>
          <w:szCs w:val="18"/>
          <w:color w:val="auto"/>
        </w:rPr>
        <w:t>(iii)            that at any time during the continuance of an Event of Default, upon request of the Trustee, it will forthwith pay to the Trustee all sums so held in trust.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shall, on or before each due date of the principal (including the Redemption Price and the Fundamental Change Repurchase Price, 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of, any accrued and unpaid Special Interest on, or consideration due upon conversion of, the Notes, deposit with the Paying Agent a sum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sufficient to pay such principal (including the Redemption Price and the Fundamental Change Repurchase Price, if applicable), any accrued and unpaid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Interest, or such consideration due upon conversion and (unless such Paying Agent is the Trustee) the Company will promptly notify the Trustee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writing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a.m., New York City time, on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(b)            If the Company shall act as its own Paying Agent, it will, on or before each due date of the principal (including the Redemption Price and the Fundamental Change Repurchase Price, if applicable) of, any accrued and unpaid Special Interest on, and consideration due upon conversion of, the Notes, set aside, segregate and hold in trust for the benefit of the Holders of the Notes a sum sufficient to pay such principal (including the Redemption Price and the Fundamental Change Repurchase Price, if applicable), any accrued and unpaid Special Interest and such consideration due upon conversion so becoming due and will promptly notify the Trustee in writing of any failure to take such action and of any failure by the Company to make any payment of the principal (including the Redemption Price and the Fundamental Change Repurchase Price, if applicable) of, any accrued and unpaid Special Interest on, or consideration due upon conversion of, the Notes when the same shall become due and payable.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17"/>
          <w:szCs w:val="17"/>
          <w:color w:val="auto"/>
        </w:rPr>
        <w:t>(c)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w:t>
      </w:r>
    </w:p>
    <w:p>
      <w:pPr>
        <w:spacing w:after="0"/>
        <w:rPr>
          <w:sz w:val="20"/>
          <w:szCs w:val="20"/>
          <w:color w:val="auto"/>
        </w:rPr>
      </w:pPr>
      <w:r>
        <w:rPr>
          <w:rFonts w:ascii="Times New Roman" w:cs="Times New Roman" w:eastAsia="Times New Roman" w:hAnsi="Times New Roman"/>
          <w:sz w:val="18"/>
          <w:szCs w:val="18"/>
          <w:color w:val="auto"/>
        </w:rPr>
        <w:t>Paying Agent hereunder as required by this Section 4‎.04, such sums or amounts to be held by the Trustee upon the trusts herein contained and upon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or delivery by the Company or any Paying Agent to the Trustee, the Company or such Paying Agent shall be released from all further liability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with respect to such sums or amounts. Upon the occurrence of any event specified in Section 6.01(h) or Section 6.01(i), the Trustee shall automatically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the Paying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Subject to applicable law, including applicable escheatment laws, any money or property deposited with the Trustee, the Conversion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Paying Agent in trust for the payment of the principal (including the Redemption Price and the Fundamental Change Repurchase Price,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of or any accrued and unpaid Special Interest on, or any money and shares of Common Stock deposited with the transfer agent for the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or then held by the Company in trust for the payment of the consideration due upon conversion of, any Note and remaining unclaimed for two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such principal (including the Redemption Price and the Fundamental Change Repurchase Price, if applicable), any interest or consideration due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has become due and payable shall be paid to the Company on request of the Company contained in an Officers’ Certificate, or (if then 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be discharged from such trust and the Trustee shall have no further liability with respect to such funds; and the Holder of such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thereafter, as an unsecured general creditor, look only to the Company for payment thereof, and all liability of the Trustee, the Conversion Agent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Paying Agent with respect to such trust money and all liability of the transfer agent for the Common Stock with respect to such trust money and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shall thereupon cease.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Upon any Event of Default pursuant to Section 6.01(h) or (i), the Trustee shall automatically be designated as the Paying Agent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if the Trustee is not acting in such capacity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Existence.</w:t>
      </w:r>
      <w:r>
        <w:rPr>
          <w:rFonts w:ascii="Times New Roman" w:cs="Times New Roman" w:eastAsia="Times New Roman" w:hAnsi="Times New Roman"/>
          <w:sz w:val="18"/>
          <w:szCs w:val="18"/>
          <w:color w:val="auto"/>
        </w:rPr>
        <w:t xml:space="preserve"> Subject to Article 11,‎ the Company shall do or cause to be done all things necessary to preserve and keep in full force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its corporate existence.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Rule 144A Information Requirement and Annual Reports.</w:t>
      </w:r>
      <w:r>
        <w:rPr>
          <w:rFonts w:ascii="Times New Roman" w:cs="Times New Roman" w:eastAsia="Times New Roman" w:hAnsi="Times New Roman"/>
          <w:sz w:val="18"/>
          <w:szCs w:val="18"/>
          <w:color w:val="auto"/>
        </w:rPr>
        <w:t xml:space="preserve"> (a)  At any time the Company is not subject to Section 13 or 15(d)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the Company shall, so long as any of the Notes or any shares of Common Stock issuable upon conversion thereof shall,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“restricted securities” within the meaning of Rule 144(a)(3) under the Securities Act, promptly provide to the Trustee and, upon written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any Holder or beneficial owner of any Notes, any Holder, beneficial owner or prospective purchaser of such Notes or any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issuable upon conversion of such Notes, the information required to be delivered pursuant to Rule 144A(d)(4) under the Securities Act to facilitate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resale of such Notes or shares of Common Stock pursuant to Rule 144A.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51" w:lineRule="auto"/>
        <w:rPr>
          <w:sz w:val="20"/>
          <w:szCs w:val="20"/>
          <w:color w:val="auto"/>
        </w:rPr>
      </w:pPr>
      <w:r>
        <w:rPr>
          <w:rFonts w:ascii="Times New Roman" w:cs="Times New Roman" w:eastAsia="Times New Roman" w:hAnsi="Times New Roman"/>
          <w:sz w:val="18"/>
          <w:szCs w:val="18"/>
          <w:color w:val="auto"/>
        </w:rPr>
        <w:t>(b)            The Company shall file with the Trustee, within 15 days after the same are required to be filed with the Commission (after giving effect to the maximum grace period provided by Rule 12b-25 (or any successor rule thereto) under the Exchange Act (regardless of whether the Company files or indicates in the related Form 12b-25 (or any successor form thereto) that it expects to file or will file, such report before the expiration of such maximum period)), copies of any documents or reports that the Company is required to file with the Commission pursuant to Section 13 or 15(d) of the Exchange Act (excluding any such information, documents or reports, or portions thereof, subject to confidential treatment and any correspondence with the Commission). Any such document or report that the Company files with the Commission via the Commission’s EDGAR system (or any successor thereto) shall be deemed to be filed with the Trustee for purposes of this ‎Section 4.06(b) at the time such documents are filed via the EDGAR system (or any successor thereto), it being understood that the Trustee shall not be responsible for determining whether such filings have been made.  </w:t>
      </w:r>
    </w:p>
    <w:p>
      <w:pPr>
        <w:spacing w:after="0" w:line="21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(c)            Delivery of the information, reports and documents described in subsections (a) and ‎(b) above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 The Trustee shall have no liability or responsibility for the filing, timeliness, or content of such reports. The Trustee shall not be obligated to monitor or confirm, on a continuing basis or otherwise, the Company’s compliance with the covenants or with respect to any reports or other documents filed with the Commission or posted to any website or participate in any conference calls.  </w:t>
      </w:r>
    </w:p>
    <w:p>
      <w:pPr>
        <w:spacing w:after="0" w:line="208"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7"/>
          <w:szCs w:val="17"/>
          <w:color w:val="auto"/>
        </w:rPr>
        <w:t>(d)            If, at any time during the six-month period beginning on, and including, the date that is six months after the last date of original issuance of the Notes, the Company fails to timely file any document or report (other than current reports on Form 8-K) that it is required to file with the Commission pursuant to Section 13 or 15(d) of the Exchange Act, as applicable (after giving effect to the maximum grace period provided by Rule 12b-25 (or any successor rule thereto) under the Exchange Act (regardless of whether the Company files or indicates in the related Form 12b-25 (or any successor form thereto) that it expects to file or will file, such report before the expiration of such maximum period)), or the Notes are not Freely Tradable, then the Company shall pay Special Interest on the Notes. Such Special Interest shall accrue on the Notes at the rate of 0.50% per annum of the principal amount of the Notes outstanding for each day during such period for which the Company’s failure to file has occurred and is continuing or the Notes are not Freely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Tradable. As used in this ‎Section 4.06(d), documents or reports that the Company is required to “file” with the Commission pursuant to Section 13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15(d) of the Exchange Act does not include documents or reports that the Company furnishes to the Commission pursuant to Section 13 or 15(d)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(e)            If, and for so long as, the restrictive legend on the Notes specified in Section 2‎.05(c) has not been, or is not deemed to have been, removed in accordance with ‎Section 2.05(c), the Notes are assigned a restricted CUSIP number or the Notes are not Freely Tradable as of the 380th day after the last date of original issuance of the Notes, the Company shall pay Special Interest on the Notes at a rate equal to 0.50% per annum of the principal amount of Notes outstanding for each day from, and including, such 380th day until the restrictive legend on the Notes has been, or is deemed to have been, removed</w:t>
      </w:r>
    </w:p>
    <w:p>
      <w:pPr>
        <w:spacing w:after="0" w:line="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in accordance with Section 2‎.05(c), the Notes are assigned an unrestricted CUSIP number and the Notes are Freely Tradable. The restrictive legend on the Notes shall be deemed removed pursuant to the terms of this Indenture as provided in ‎Section 2.05(c), and, at such time, the Notes will, pursuant to, and subject to the provisions of, such Section, be deemed assigned an unrestricted CUSIP number. However, for the avoidance of doubt, for Notes that are not</w:t>
      </w:r>
    </w:p>
    <w:p>
      <w:pPr>
        <w:ind w:right="60"/>
        <w:spacing w:after="0" w:line="265" w:lineRule="auto"/>
        <w:rPr>
          <w:sz w:val="20"/>
          <w:szCs w:val="20"/>
          <w:color w:val="auto"/>
        </w:rPr>
      </w:pPr>
      <w:r>
        <w:rPr>
          <w:rFonts w:ascii="Times New Roman" w:cs="Times New Roman" w:eastAsia="Times New Roman" w:hAnsi="Times New Roman"/>
          <w:sz w:val="17"/>
          <w:szCs w:val="17"/>
          <w:color w:val="auto"/>
        </w:rPr>
        <w:t>in certificated form, the Notes will continue to bear Special Interest pursuant to this Section 4‎.06(e) until such time as they are identified by an unrestricted CUSIP number in the facilities of the Depositary or any successor depositary for the Notes, as a result of completion of the Depositary’s mandatory exchange process or otherwise. Such accrual of Special Interest shall be the exclusive remedy available to Holders for the Company’s failure to remove the restrictive legend on the Notes specified in ‎Section 2.05(c), the Notes being assigned a restricted CUSIP number or the Notes not otherwise being Freely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Tradable as described in this Section 4‎.06(e).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(f)            Notwithstanding anything herein to the contrary, Special Interest that accrues on the Notes for any period on or after the 380th day after the last date of original issuance of the Notes pursuant to ‎Section 4.06(e) will not be payable on any Special Interest Payment Date occurring on or after such date, unless (x) a Holder or beneficial owner of a Note (in the case of a beneficial owner subject to the satisfactory verification of a beneficial owner’s identity and ownership) has delivered to the Company (with a copy to the Trustee), before the Special Interest Record Date immediately before such Special Interest Payment Date, a written notice (a “</w:t>
      </w:r>
      <w:r>
        <w:rPr>
          <w:rFonts w:ascii="Times New Roman" w:cs="Times New Roman" w:eastAsia="Times New Roman" w:hAnsi="Times New Roman"/>
          <w:sz w:val="17"/>
          <w:szCs w:val="17"/>
          <w:b w:val="1"/>
          <w:bCs w:val="1"/>
          <w:color w:val="auto"/>
        </w:rPr>
        <w:t>Deferred Special Interest Demand Request</w:t>
      </w:r>
      <w:r>
        <w:rPr>
          <w:rFonts w:ascii="Times New Roman" w:cs="Times New Roman" w:eastAsia="Times New Roman" w:hAnsi="Times New Roman"/>
          <w:sz w:val="17"/>
          <w:szCs w:val="17"/>
          <w:color w:val="auto"/>
        </w:rPr>
        <w:t>”) demanding payment of Special Interest; or (y) the Company, in its sole and absolute discretion, elects, by sending notice of such election (a “</w:t>
      </w:r>
      <w:r>
        <w:rPr>
          <w:rFonts w:ascii="Times New Roman" w:cs="Times New Roman" w:eastAsia="Times New Roman" w:hAnsi="Times New Roman"/>
          <w:sz w:val="17"/>
          <w:szCs w:val="17"/>
          <w:b w:val="1"/>
          <w:bCs w:val="1"/>
          <w:color w:val="auto"/>
        </w:rPr>
        <w:t>Notice of Election to Pay Deferred Special Interest</w:t>
      </w:r>
      <w:r>
        <w:rPr>
          <w:rFonts w:ascii="Times New Roman" w:cs="Times New Roman" w:eastAsia="Times New Roman" w:hAnsi="Times New Roman"/>
          <w:sz w:val="17"/>
          <w:szCs w:val="17"/>
          <w:color w:val="auto"/>
        </w:rPr>
        <w:t>”) to Holders (with a copy to the Trustee) before such Special Interest Record Date, to pay such Special Interest on such Special Interest Payment Date (any such</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accrued and unpaid Special Interest that, in compliance with this Section 4‎.06(f), is not paid on such Special Interest Payment Date, “</w:t>
      </w:r>
      <w:r>
        <w:rPr>
          <w:rFonts w:ascii="Times New Roman" w:cs="Times New Roman" w:eastAsia="Times New Roman" w:hAnsi="Times New Roman"/>
          <w:sz w:val="18"/>
          <w:szCs w:val="18"/>
          <w:b w:val="1"/>
          <w:bCs w:val="1"/>
          <w:color w:val="auto"/>
        </w:rPr>
        <w:t>Deferred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Without further action by the Company or any other Person, interest will automatically accrue on any Deferred Special Interest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applicable Special Interest Payment Date at a rate per annum equal to the then-applicable Special Interest rate to, but excluding, the date on which such Deferred Special Interest, together with any interest thereon, is paid. Once any accrued and unpaid Special Interest becomes payable on a Special Interest Payment Date, whether as a result of the delivery of a written notice pursuant to the foregoing or, if earlier, the Company’s election to pay the same, Special Interest will thereafter not be subject to deferral pursuant to the foregoing. For the avoidance of doubt, the failure to pay any accrued and unpaid Special Interest on a Special Interest Payment Date will not constitute a Default or an Event of Default under this Indenture or the Notes if such payment is deferred in accordance with this ‎Section 4.06(f). Notwithstanding anything to the contrary in this Indenture or the Notes, if (i) any unpaid Deferred Special Interest exists on any Notes as of the close of business on the Special Interest Record Date immediately preceding the Maturity Date; (ii) no Holder or beneficial owner of a Note has delivered a Deferred Special Interest Demand Request in the manner described above before such Special Interest Record Date; and (iii) the Company has not sent a Notice of Election to Pay Deferred Special Interest in the manner described above before such Special Interest Record Date, then Deferred Special Interest on each Note then outstanding will cease to accrue, and all Deferred Special Interest, together with any interest thereon, on such Note will be deemed to be extinguished on the following date: (a) if such Note is to be converted, the Conversion Date for such conversion (it being understood, for the avoidance of doubt, that the Conversion Consideration therefor need not include, and the amount referred</w:t>
      </w:r>
    </w:p>
    <w:p>
      <w:pPr>
        <w:spacing w:after="0" w:line="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in the fifth sentence of Section 14‎.02(h) need not include, the payment of any such Deferred Special Interest or any interest thereon); and (b) in all other cases, the later of (x) the Maturity Date and (y) the first date on which the Company has repaid the principal of, and any accrued and unpaid Special Interest (other than such Deferred Special Interest and any interest thereon) on, such Note in full.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Special Interest will be payable in arrears on each Special Interest Payment Date following accrual as set forth in ‎Section 2.03(b).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The Special Interest that is payable in accordance with ‎Section 4.06(d) or ‎Section 4.06(e) shall be in addition to, and not in lieu of, any</w:t>
      </w:r>
    </w:p>
    <w:p>
      <w:pPr>
        <w:spacing w:after="0" w:line="9"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 xml:space="preserve">Special Interest that may be payable as a result of the Company’s election pursuant to Section 6‎.03;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no event shall any Special Interest that may accrue in accordance with ‎Section 4.06(d) as a result of the Company’s failure to timely file any document or report as set forth therein,</w:t>
      </w:r>
    </w:p>
    <w:p>
      <w:pPr>
        <w:spacing w:after="0" w:line="260" w:lineRule="auto"/>
        <w:rPr>
          <w:sz w:val="20"/>
          <w:szCs w:val="20"/>
          <w:color w:val="auto"/>
        </w:rPr>
      </w:pPr>
      <w:r>
        <w:rPr>
          <w:rFonts w:ascii="Times New Roman" w:cs="Times New Roman" w:eastAsia="Times New Roman" w:hAnsi="Times New Roman"/>
          <w:sz w:val="18"/>
          <w:szCs w:val="18"/>
          <w:color w:val="auto"/>
        </w:rPr>
        <w:t>together with any Special Interest that may accrue at the Company’s election pursuant to Section 6‎.03, accrue at a rate in excess of 0.50% per annum on any Notes, regardless of the number of events or circumstances giving rise to the requirement to pay such Special Interest.  </w:t>
      </w:r>
    </w:p>
    <w:p>
      <w:pPr>
        <w:spacing w:after="0" w:line="20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(i)            If Special Interest is payable by the Company pursuant to Section 4‎.06(d) or Section 4‎.06(e), the Company shall deliver to the Trustee an Officers’ Certificate to that effect stating (i) the amount of such Special Interest that is payable and (ii) the date on which such Special Interest is payable. Unless and until a Responsible Officer of the Trustee receives at the Corporate Trust Office such a certificate, the Trustee may assume without inquiry that no such Special Interest is payable. If the Company has paid Special Interest directly to the Persons entitled to it, the Company shall deliver to the Trustee an Officers’ Certificate setting forth the particulars of such payment. The Trustee shall have no duty to verify the Company’s determination as to whether Special Interest is due or the Company’s calculations as to the amount of Special Interest, and may assume without inquiry that no Special Interest is payable or has been deferred until written notice of such Special Interest being payable has been provided to the Trustee by the Company.  </w:t>
      </w:r>
    </w:p>
    <w:p>
      <w:pPr>
        <w:spacing w:after="0" w:line="20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Section 4.07</w:t>
      </w:r>
      <w:r>
        <w:rPr>
          <w:rFonts w:ascii="Times New Roman" w:cs="Times New Roman" w:eastAsia="Times New Roman" w:hAnsi="Times New Roman"/>
          <w:sz w:val="17"/>
          <w:szCs w:val="17"/>
          <w:i w:val="1"/>
          <w:iCs w:val="1"/>
          <w:color w:val="auto"/>
        </w:rPr>
        <w:t>. Stay, Extension and Usury Laws.</w:t>
      </w:r>
      <w:r>
        <w:rPr>
          <w:rFonts w:ascii="Times New Roman" w:cs="Times New Roman" w:eastAsia="Times New Roman" w:hAnsi="Times New Roman"/>
          <w:sz w:val="17"/>
          <w:szCs w:val="17"/>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any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Section 4.08</w:t>
      </w:r>
      <w:r>
        <w:rPr>
          <w:rFonts w:ascii="Times New Roman" w:cs="Times New Roman" w:eastAsia="Times New Roman" w:hAnsi="Times New Roman"/>
          <w:sz w:val="18"/>
          <w:szCs w:val="18"/>
          <w:i w:val="1"/>
          <w:iCs w:val="1"/>
          <w:color w:val="auto"/>
        </w:rPr>
        <w:t>. Compliance Certificate; Statements as to Defaults.</w:t>
      </w:r>
      <w:r>
        <w:rPr>
          <w:rFonts w:ascii="Times New Roman" w:cs="Times New Roman" w:eastAsia="Times New Roman" w:hAnsi="Times New Roman"/>
          <w:sz w:val="18"/>
          <w:szCs w:val="18"/>
          <w:color w:val="auto"/>
        </w:rPr>
        <w:t xml:space="preserve"> The Company shall deliver to the Trustee at its Corporate Trust Office, within 120 days after the end of each fiscal year of the Company (beginning with the fiscal year ending on December 31, 2026), an Officers’ Certificate, signed by the principal executive officer of the Company, the principal financial officer of the Company or the principal accounting officer of the Company, stating whether the signers thereof have knowledge of any Default that occurred during the previous year.  </w:t>
      </w:r>
    </w:p>
    <w:p>
      <w:pPr>
        <w:spacing w:after="0" w:line="207"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at its Corporate Trust Office, within 30 days after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Officers’ Certificate is required if the event that would constitute a Default has been cured or waived before the date the Company is required to deliver such Officers’ Certificate.  </w:t>
      </w:r>
    </w:p>
    <w:p>
      <w:pPr>
        <w:spacing w:after="0" w:line="207" w:lineRule="exact"/>
        <w:rPr>
          <w:sz w:val="20"/>
          <w:szCs w:val="20"/>
          <w:color w:val="auto"/>
        </w:rPr>
      </w:pPr>
    </w:p>
    <w:p>
      <w:pPr>
        <w:ind w:right="260" w:firstLine="648"/>
        <w:spacing w:after="0" w:line="260" w:lineRule="auto"/>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r>
        <w:rPr>
          <w:rFonts w:ascii="Times New Roman" w:cs="Times New Roman" w:eastAsia="Times New Roman" w:hAnsi="Times New Roman"/>
          <w:sz w:val="18"/>
          <w:szCs w:val="18"/>
          <w:color w:val="auto"/>
        </w:rPr>
        <w:t xml:space="preserve"> Upon request of the Trustee, the Company will execute and deliver such further instruments and do such further acts as may be reasonably necessary or proper to carry out more effectively the purposes of this Indenture.  </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5.01</w:t>
      </w:r>
      <w:r>
        <w:rPr>
          <w:rFonts w:ascii="Times New Roman" w:cs="Times New Roman" w:eastAsia="Times New Roman" w:hAnsi="Times New Roman"/>
          <w:sz w:val="17"/>
          <w:szCs w:val="17"/>
          <w:i w:val="1"/>
          <w:iCs w:val="1"/>
          <w:color w:val="auto"/>
        </w:rPr>
        <w:t>. Lists of Holders.</w:t>
      </w:r>
      <w:r>
        <w:rPr>
          <w:rFonts w:ascii="Times New Roman" w:cs="Times New Roman" w:eastAsia="Times New Roman" w:hAnsi="Times New Roman"/>
          <w:sz w:val="17"/>
          <w:szCs w:val="17"/>
          <w:color w:val="auto"/>
        </w:rPr>
        <w:t xml:space="preserve"> The Company covenants and agrees that it will furnish or cause to be furnished to the Trustee and any Paying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other than the Trustee), semi-annually, not more than 15 days after each June 1 and December 1 in each year beginning with December 1, 2026, and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times as the Trustee may request in writing, within 30 days after receipt by the Company of any such request (or such lesser time as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reasonably request in order to enable it to timely provide any notice to be provided by it hereunder), a list in such form as the Trustee may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of the names and addresses of the Holders as of a date not more than 15 days (or such other date as the Trustee may reasonably request in order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provide any such notices) prior to the time such information is furnished, except that no such list need be furnished so long as the Trustee is acting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17"/>
          <w:szCs w:val="17"/>
          <w:color w:val="auto"/>
        </w:rPr>
        <w:t>Section 5.02</w:t>
      </w:r>
      <w:r>
        <w:rPr>
          <w:rFonts w:ascii="Times New Roman" w:cs="Times New Roman" w:eastAsia="Times New Roman" w:hAnsi="Times New Roman"/>
          <w:sz w:val="17"/>
          <w:szCs w:val="17"/>
          <w:i w:val="1"/>
          <w:iCs w:val="1"/>
          <w:color w:val="auto"/>
        </w:rPr>
        <w:t>. Preservation and Disclosure of Lists.</w:t>
      </w:r>
      <w:r>
        <w:rPr>
          <w:rFonts w:ascii="Times New Roman" w:cs="Times New Roman" w:eastAsia="Times New Roman" w:hAnsi="Times New Roman"/>
          <w:sz w:val="17"/>
          <w:szCs w:val="17"/>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w:t>
      </w:r>
    </w:p>
    <w:p>
      <w:pPr>
        <w:spacing w:after="0"/>
        <w:rPr>
          <w:sz w:val="20"/>
          <w:szCs w:val="20"/>
          <w:color w:val="auto"/>
        </w:rPr>
      </w:pPr>
      <w:r>
        <w:rPr>
          <w:rFonts w:ascii="Times New Roman" w:cs="Times New Roman" w:eastAsia="Times New Roman" w:hAnsi="Times New Roman"/>
          <w:sz w:val="18"/>
          <w:szCs w:val="18"/>
          <w:color w:val="auto"/>
        </w:rPr>
        <w:t>capacity as Note Registrar, if so acting. The Trustee may destroy any list furnished to it as provided in Section 5‎.01 upon receipt of a new list so furnished.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6</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default in any payment of any interest on any Note when due and payable, and the default continues for a period of 30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default in the payment of principal of any Note when due and payable on the Maturity Date, upon Optional Redemption, upon any required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upon declaration of acceleration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failure by the Company to comply with its obligation to convert the Notes in accordance with this Indenture upon exercise of a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right and such failure continues for five Business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failure by the Company to issue a Fundamental Change Company Notice in accordance with ‎Section 15.02(c) or notice of a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event in accordance with Section 14‎.01(b)(ii) or Section 14‎.01(b)(iii), in each case, when due, and such failure continues for five Business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failure by the Company to comply with its obligations under Article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failure by the Company for 60 days after written notice from the Trustee or the Holders of at least 25% in aggregate principal amount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then outstanding has been received by the Company and the Trustee to comply with any of its other agreements contained in the Notes or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default by the Company or any Significant Subsidiary of the Company with respect to any mortgage, agreement or other instrument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there may be outstanding, or by which there may be secured or evidenced, any indebtedness for money borrowed in excess of $50,000,000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equivalent) in the aggregate of the Company and/or any such Significant Subsidiary, whether such indebtedness now exists or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hereafter be created (i) resulting in such indebtedness becoming or being declared due and payable prior to its stated maturity or (ii) constituting a failure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the principal or interest of any such indebtedness when due and payable at its stated maturity, upon required repurchase, upon declaration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or otherwise and in the cases of clauses (i) and (ii), such acceleration shall not, after the expiration of any applicable grace period,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rescinded or annulled or such failure to pay or default shall not have been cured or waived, or such indebtedness shall not have been paid or discharged,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may be, within 30 days after written notice to the Company by the Trustee or to the Company and the Trustee by Holders of at least 25%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Notes then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0"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the Company or any Significant Subsidiary shall commence a voluntary case or other proceeding seeking liquidation, reorganization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relief with respect to the Company or any such Significant Subsidiary or its debts under any bankruptcy, insolvency or other similar law now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hereafter in effect or seeking the appointment of a trustee, receiver, liquidator, custodian or other similar official of the Company or any such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or any substantial part of its property, or shall consent to any such relief or to the appointment of or taking possession by any such official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involuntary case or other proceeding commenced against it, or shall make a general assignment for the benefit of creditors, or shall fail generally to pay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debts as they become due;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            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r>
        <w:rPr>
          <w:rFonts w:ascii="Times New Roman" w:cs="Times New Roman" w:eastAsia="Times New Roman" w:hAnsi="Times New Roman"/>
          <w:sz w:val="18"/>
          <w:szCs w:val="18"/>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of Default specified in Section 6‎.01(h) or Section 6‎.01(i) with respect to the Company or any of its Significant Subsidiaries),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Special Interest, if any, on, all the Notes to be due and payable immediately, and upon any such declaration the same shall become and shall automatically be immediately due and payable, anything contained in this Indenture or in the Notes to the contrary</w:t>
      </w:r>
    </w:p>
    <w:p>
      <w:pPr>
        <w:spacing w:after="0" w:line="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notwithstanding. If an Event of Default specified in Section 6‎.01(h) or Section 6‎.01(i) with respect to the Company or any of its Significant Subsidiaries occurs and is continuing, 100% of the principal of, and accrued and unpaid Special Interest, if any, on, all Notes shall become and shall automatically be immediately due and payable without any further act or declaration on the part of the Holders or the Trustee.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Special Interest, if any, upon all Notes and the principal of any and all Notes that shall have become due otherwise than by acceleration (with any interest on overdue installments of any accrued and unpaid Special Interest to the extent that payment of any such interest is enforceable under applicable law, and on such principal at the then-applicable Special Interest rate borne by the Notes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Special Interest, if any, on Notes that shall have become due solely by such acceleration, shall have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cured or waived pursuant to ‎Section 6.09, then and in every such case (except as provided in the immediately succeeding sentence) the Holders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in aggregate principal amount of the Notes then outstanding, by written notice to the Company and to the Trustee, may waive all Defaults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of Default with respect to the Notes and rescind and annul such declaration and its consequences and such Default shall cease to exist,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arising therefrom shall be deemed to have been cured for every purpose of this Indenture; but no such waiver or rescission and annulment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extend to or shall affect any subsequent Default or Event of Default, or shall impair any right consequent thereon. Notwithstanding anything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 herein, no such waiver or rescission and annulment shall extend to or shall affect any continuing Default or Event of Default resulting from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nonpayment of the principal (including the Redemption Price and the Fundamental Change Repurchase Price, if applicable) of, or any accrued and unpaid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Interest on, any Notes, (ii) a failure to repurchase any Notes when required or (iii) a failure to pay or deliver, as the case may be, the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upon conversion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For the avoidance of doubt, and without limiting the manner in which any Default can be cured, (a) any failure by the Company to provide any notice (other than a notice as described in Section 6.01(d)) shall be subject to Section 6.01(f) (including the 60-day cure period contained therein), and any related Default shall be deemed cured upon the sending of such notice whether or not the events or circumstances that are the subject of such notice have already occurred at the time such notice is given, (b) a Default in making any payment on (or delivering any other consideration in respect of) any Note will be cured upon the delivery, in accordance with the terms of this Indenture, of such payment (or other consideration) together, if applicable, with any interest thereon, and (c) a Default that is (or, after notice or passage of time or both, would be) an Event of Default relating to the failure to comply with the Company’s reporting obligations in accordance with Section 6.03 will be cured upon the filing of the relevant report(s) that were required to be filed and gave rise to such Default. In addition, for the avoidance of doubt, (i) if a Default that is not an Event of Default is cured or waived before such Default would have constituted an Event of Default, then no Event of Default will result from such Default, and (ii) if an Event of Default is cured or waived before any related notice of acceleration is delivered, such Event of Default shall be deemed cured and the Notes shall not be subject to acceleration on account of such Default.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i w:val="1"/>
          <w:iCs w:val="1"/>
          <w:color w:val="auto"/>
        </w:rPr>
        <w:t>Special Interest</w:t>
      </w:r>
      <w:r>
        <w:rPr>
          <w:rFonts w:ascii="Times New Roman" w:cs="Times New Roman" w:eastAsia="Times New Roman" w:hAnsi="Times New Roman"/>
          <w:sz w:val="17"/>
          <w:szCs w:val="17"/>
          <w:color w:val="auto"/>
        </w:rPr>
        <w:t>. Notwithstanding anything in this Indenture or in the Notes to the contrary, to the extent the Company elects, the sole remedy for an Event of Default relating to the Company’s failure to comply with its obligations as set forth in ‎Section 4.06(b) shall, for the first 360 days after the occurrence of such an Event of Default (which, for the avoidance of doubt, shall not commence until the notice described in Section 6.01(f) has been given and the related 60-day period set forth in Section 6.01(f) has passed), consist exclusively of the right to receive Special Interest on the Notes at a rate equal to (i) 0.25% per annum of the principal amount of the Notes outstanding for each day during the first 180-day period beginning on, and including, the date on which such an Event of Default first occurs and (ii) 0.50% per annum of the principal amount of the Notes outstanding for each day during the period from, and including, the 181st day after the occurrence of such Event of Default to, and including, the 360th day after the occurrence of such Event of Default, in each case, during which such Event of Default is continuing. Subject to the second immediately succeeding paragraph, Special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that may accrue pursuant to this Section 6‎.03 shall be in addition to, not in lieu of, any Special Interest that may accrue pursuant to</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‎Section 4.06(d) or ‎Section 4.06(e). If the Company so elects, such Special Interest shall be payable as set forth in ‎Section 2.03(b) and shall accrue on all outstanding Notes from, and including, the date on which the Event of Default relating to the Company’s failure to comply with its obligations as set forth in Section 4.06(b) first occurs to, and including, the 360th day thereafter (or such earlier date on which such Event of Default is cured or validly waived in accordance with this Article 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first date on which any Special Interest (including Deferred Special Interest) begins to accrue on a Note is on or after the fifth Business Day before a Special Interest Record Date and before the next Special Interest Payment Date, then, notwithstanding anything to the contrary in this Indenture, the amount thereof accruing in respect of the period from, and including, such first date to, but excluding such Special Interest Payment Date will not be payable on such Special Interest Payment Date but will instead be deemed to accrue (without duplication) entirely on such Special Interest Payment Date (and, for the avoidance of doubt, no Special Interest will accrue as a result of the related delay). On the 361st day after such Event of Default (if the Event of Default relating to the Company’s failure to comply with its obligations as set forth in Section 4.06(b) is not cured or validly waived in accordance with this Article 6 prior to such 361st day), such Special Interest shall cease to accrue and the Notes shall be immediately subject to acceleration as provided in ‎Section 6.02. The provisions of this ‎Section 6.03 will not affect the rights of Holders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in the event of the occurrence of any other Event of Default other than the Company’s failure to comply with its obligations as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4.06(b). In the event the Company does not elect to pay Special Interest following an Event of Default in accordance with this ‎Section 6.03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elected to make such payment but does not pay the Special Interest when due, the Notes shall be immediately subject to acceleration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Section 6‎.02.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In order to elect to pay Special Interest as the sole remedy during the first 360 days after the occurrence of any Event of Default described in the immediately preceding paragraph, the Company must notify all Holders of the Notes in writing and notify the Trustee and the Paying Agent in an Officers’ Certificate (consistent with ‎Section 4.06(i)) of such election prior to the beginning of such 360-day period. Upon the failure to timely give such notice, the</w:t>
      </w:r>
    </w:p>
    <w:p>
      <w:pPr>
        <w:spacing w:after="0"/>
        <w:rPr>
          <w:sz w:val="20"/>
          <w:szCs w:val="20"/>
          <w:color w:val="auto"/>
        </w:rPr>
      </w:pPr>
      <w:r>
        <w:rPr>
          <w:rFonts w:ascii="Times New Roman" w:cs="Times New Roman" w:eastAsia="Times New Roman" w:hAnsi="Times New Roman"/>
          <w:sz w:val="18"/>
          <w:szCs w:val="18"/>
          <w:color w:val="auto"/>
        </w:rPr>
        <w:t>Notes shall be immediately subject to acceleration as provided in Section 6‎.02.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 event shall any Special Interest that may accrue at the Company’s election pursuant to this ‎Section 6.03, together with any Special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may accrue in accordance with ‎Section 4.06(d) as a result of the Company’s failure to timely file any document or report as set forth therein, accrue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in excess of 0.50% per annum on any Notes, regardless of the number of events or circumstances giving rise to the requirement to pay such Special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18"/>
          <w:szCs w:val="18"/>
          <w:color w:val="auto"/>
        </w:rPr>
        <w:t>Section 6.04</w:t>
      </w:r>
      <w:r>
        <w:rPr>
          <w:rFonts w:ascii="Times New Roman" w:cs="Times New Roman" w:eastAsia="Times New Roman" w:hAnsi="Times New Roman"/>
          <w:sz w:val="18"/>
          <w:szCs w:val="18"/>
          <w:i w:val="1"/>
          <w:iCs w:val="1"/>
          <w:color w:val="auto"/>
        </w:rPr>
        <w:t>. Payments of Notes on Default; Suit Therefor.</w:t>
      </w:r>
      <w:r>
        <w:rPr>
          <w:rFonts w:ascii="Times New Roman" w:cs="Times New Roman" w:eastAsia="Times New Roman" w:hAnsi="Times New Roman"/>
          <w:sz w:val="18"/>
          <w:szCs w:val="18"/>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Special Interest, if any (with no interest accruing on any overdue principal or interest, if any, unless Special Interest was payable pursuant to this Indenture on the required payment date, in which case such overdue amounts shall accrue interest per annum at the then-applicable Special Interest rate borne by the Notes, subject to the enforceability thereof under applicable law, from, and including, such required payment date),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  </w:t>
      </w:r>
    </w:p>
    <w:p>
      <w:pPr>
        <w:spacing w:after="0" w:line="211" w:lineRule="exact"/>
        <w:rPr>
          <w:sz w:val="20"/>
          <w:szCs w:val="20"/>
          <w:color w:val="auto"/>
        </w:rPr>
      </w:pPr>
    </w:p>
    <w:p>
      <w:pPr>
        <w:ind w:right="220" w:firstLine="648"/>
        <w:spacing w:after="0" w:line="265" w:lineRule="auto"/>
        <w:rPr>
          <w:sz w:val="20"/>
          <w:szCs w:val="20"/>
          <w:color w:val="auto"/>
        </w:rPr>
      </w:pPr>
      <w:r>
        <w:rPr>
          <w:rFonts w:ascii="Times New Roman" w:cs="Times New Roman" w:eastAsia="Times New Roman" w:hAnsi="Times New Roman"/>
          <w:sz w:val="17"/>
          <w:szCs w:val="17"/>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Section 6‎.04, shall be entitled and empowered, by intervention in such proceedings or otherwise, to file and prove a claim or claims for the whole amount of principal and accrued and unpaid Special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and counsel fees, and including any other amounts due to the Trustee under ‎Section 7.06, incurred by it up to the date of such distribution.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that such payment of compensation, reasonable expenses, advances and disbursements out of the estate in any such proceedings shall be denied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reason, payment of the same shall be secured by a lien on, and shall be paid out of, any and all distributions, dividends, monies, securities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that the Holders of the Notes may be entitled to receive in such proceedings, whether in liquidation or under any plan of reorganization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reorganization, arrangement, adjustment or composition affecting such Holder or the rights of any Holder thereof, or to authorize the Trustee to vote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the claim of any Holder in any such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shall be a party) the Trustee shall be held to represent all the Holders of the Notes, and it shall not be necessary to make any Holders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to any such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abandoned because of any waiver pursuant to Section 6‎.09 or any rescission and annulment pursuant to Section 6‎.02 or for any other reason or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determined adversely to the Trustee, then and in every such case the Company, the Holders and the Trustee shall, subject to any determination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be restored respectively to their several positions and rights hereunder, and all rights, remedies and powers of the Company, the Holders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shall continue as though no such proceeding had been instituted.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(acting in any capacity hereunder) hereunder, including its agents and counsel,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if any, on,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due upon conversion of, the Notes in default in the order of the date due of the payments of such interest and cash due upon conversion, as the case may be, with interest (to the extent that any such interest is payable on such Notes and has been collected by the Trustee) upon such overdue payments at the rate of Special Interest then payable on such Notes, if any, such payments to be made ratably to the Persons entitled thereto;  </w:t>
      </w:r>
    </w:p>
    <w:p>
      <w:pPr>
        <w:spacing w:after="0" w:line="207"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the Fundamental Change Repurchase Price and any cash due upon conversion) then owing and unpaid upon the Notes for principal and interest, if any, with interest (to the extent that any Special Interest is then payable on the Notes) on the overdue principal and, to the extent that such interest, if any, has been collected by the Trustee, upon overdue installments of interest to the extent that payment of such interest is enforceable under applicable law, at the rate of Special Interest borne by the Notes at such time, if any, and in case such monies shall be insufficient to pay in full the whole amounts so due and unpaid upon the Notes, then to the payment of such principal (including, if applicable, the Redemption Price and the Fundamental Change Repurchase Price and any cash due upon conversion) and any interest without preference or priority of principal over interest, or of any interest over principal or of any installment of interest over any other installment of interest, or of any Note over any other Note, ratably to the aggregate of such principal (including, if applicable, the Redemption Price, the Fundamental Change Repurchase Price and any cash due upon conversion) and any accrued and unpaid Special Interest; and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Proceedings by Holders.</w:t>
      </w:r>
      <w:r>
        <w:rPr>
          <w:rFonts w:ascii="Times New Roman" w:cs="Times New Roman" w:eastAsia="Times New Roman" w:hAnsi="Times New Roman"/>
          <w:sz w:val="18"/>
          <w:szCs w:val="18"/>
          <w:color w:val="auto"/>
        </w:rPr>
        <w:t xml:space="preserve"> Except to enforce the right to receive payment of principal (including, if applicable, the Redemption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Fundamental Change Repurchase Price) or any interest when due, or the right to receive payment or delivery of the consideration due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no Holder of any Note shall have any right by virtue of or by availing of any provision of this Indenture to institute any suit, action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in equity or at law upon or under or with respect to this Indenture, or for the appointment of a receiver, trustee, liquidator, custodian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official, or for any other remedy hereunder,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such Holder previously shall have given to the Trustee written notice of an Event of Default and of the continuance thereof, as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00" w:firstLine="648"/>
        <w:spacing w:after="0" w:line="260" w:lineRule="auto"/>
        <w:rPr>
          <w:sz w:val="20"/>
          <w:szCs w:val="20"/>
          <w:color w:val="auto"/>
        </w:rPr>
      </w:pPr>
      <w:r>
        <w:rPr>
          <w:rFonts w:ascii="Times New Roman" w:cs="Times New Roman" w:eastAsia="Times New Roman" w:hAnsi="Times New Roman"/>
          <w:sz w:val="18"/>
          <w:szCs w:val="18"/>
          <w:color w:val="auto"/>
        </w:rPr>
        <w:t>(b)            Holders of at least 25% in aggregate principal amount of the Notes then outstanding shall have made written request upon the Trustee to institute such action, suit or proceeding in its own name as Trustee hereunder;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such Holders shall have offered and, if requested, provided to the Trustee such security or indemnity reasonably satisfactory to the Trustee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any loss, liability, cost or expense to be incurred therein or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Trustee for 60 days after its receipt of such notice, request and offer of such security or indemnity, shall have neglected or refused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institute any such action, suit or proceeding;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(e)            no direction that, in the opinion of the Trustee, is inconsistent with such written request shall have been given to the Trustee by the Holders of a majority of the aggregate principal amount of the Notes then outstanding within such 60-day period pursuant to ‎Section 6.09,  </w:t>
      </w:r>
    </w:p>
    <w:p>
      <w:pPr>
        <w:spacing w:after="0" w:line="20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it being understood and intended, and being expressly covenanted by the taker and Holder of every Note with every other taker and Holder and the Trustee that no one or more Holders shall have any right in any manner whatsoever by virtue of or by availing of any provision of this Indenture to affect, disturb or prejudice the rights of any other Holder (it being understood that the Trustee shall not have an affirmative duty to ascertain whether or not any such direction is unduly prejudicial to any other Holder), or to obtain or seek to obtain priority over or preference to any other such Holder, or to enforce any right under this Indenture, except in the manner herein provided and for the equal, ratable and common benefit of all Holders (except as otherwise provided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For the protection and enforcement of this Section 6‎.06, each and every Holder and the Trustee shall be entitled to such relief as can be given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law or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60" w:firstLine="648"/>
        <w:spacing w:after="0" w:line="265" w:lineRule="auto"/>
        <w:rPr>
          <w:sz w:val="20"/>
          <w:szCs w:val="20"/>
          <w:color w:val="auto"/>
        </w:rPr>
      </w:pPr>
      <w:r>
        <w:rPr>
          <w:rFonts w:ascii="Times New Roman" w:cs="Times New Roman" w:eastAsia="Times New Roman" w:hAnsi="Times New Roman"/>
          <w:sz w:val="17"/>
          <w:szCs w:val="17"/>
          <w:color w:val="auto"/>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 (y) accrued and unpaid Special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in it by this Indenture by such appropriate judicial proceedings as are necessary to protect and enforce any of such rights, either by suit in equity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action at law or by proceeding in bankruptcy or otherwise, whether for the specific enforcement of any covenant or agreement contained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or in aid of the exercise of any power granted in this Indenture, or to enforce any other legal or equitable right vested in the Trustee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or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Section 6.08</w:t>
      </w:r>
      <w:r>
        <w:rPr>
          <w:rFonts w:ascii="Times New Roman" w:cs="Times New Roman" w:eastAsia="Times New Roman" w:hAnsi="Times New Roman"/>
          <w:sz w:val="17"/>
          <w:szCs w:val="17"/>
          <w:i w:val="1"/>
          <w:iCs w:val="1"/>
          <w:color w:val="auto"/>
        </w:rPr>
        <w:t>. Remedies Cumulative and Continuing.</w:t>
      </w:r>
      <w:r>
        <w:rPr>
          <w:rFonts w:ascii="Times New Roman" w:cs="Times New Roman" w:eastAsia="Times New Roman" w:hAnsi="Times New Roman"/>
          <w:sz w:val="17"/>
          <w:szCs w:val="17"/>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80" w:firstLine="648"/>
        <w:spacing w:after="0" w:line="265" w:lineRule="auto"/>
        <w:rPr>
          <w:sz w:val="20"/>
          <w:szCs w:val="20"/>
          <w:color w:val="auto"/>
        </w:rPr>
      </w:pPr>
      <w:r>
        <w:rPr>
          <w:rFonts w:ascii="Times New Roman" w:cs="Times New Roman" w:eastAsia="Times New Roman" w:hAnsi="Times New Roman"/>
          <w:sz w:val="17"/>
          <w:szCs w:val="17"/>
          <w:color w:val="auto"/>
        </w:rPr>
        <w:t>Section 6.09</w:t>
      </w:r>
      <w:r>
        <w:rPr>
          <w:rFonts w:ascii="Times New Roman" w:cs="Times New Roman" w:eastAsia="Times New Roman" w:hAnsi="Times New Roman"/>
          <w:sz w:val="17"/>
          <w:szCs w:val="17"/>
          <w:i w:val="1"/>
          <w:iCs w:val="1"/>
          <w:color w:val="auto"/>
        </w:rPr>
        <w:t>. Direction of Proceedings and Waiver of Defaults by Majority of Holders.</w:t>
      </w:r>
      <w:r>
        <w:rPr>
          <w:rFonts w:ascii="Times New Roman" w:cs="Times New Roman" w:eastAsia="Times New Roman" w:hAnsi="Times New Roman"/>
          <w:sz w:val="17"/>
          <w:szCs w:val="17"/>
          <w:color w:val="auto"/>
        </w:rPr>
        <w:t xml:space="preserve"> Subject to the Trustee’s right to receive security or indemnity from the relevant Holders as described herein, the Holders of a majority of the aggregate principal amount of the Notes at the time outstanding</w:t>
      </w:r>
    </w:p>
    <w:p>
      <w:pPr>
        <w:spacing w:after="0" w:line="265" w:lineRule="auto"/>
        <w:rPr>
          <w:sz w:val="20"/>
          <w:szCs w:val="20"/>
          <w:color w:val="auto"/>
        </w:rPr>
      </w:pPr>
      <w:r>
        <w:rPr>
          <w:rFonts w:ascii="Times New Roman" w:cs="Times New Roman" w:eastAsia="Times New Roman" w:hAnsi="Times New Roman"/>
          <w:sz w:val="17"/>
          <w:szCs w:val="17"/>
          <w:color w:val="auto"/>
        </w:rPr>
        <w:t xml:space="preserve">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in conflict with any rule of law or with this Indenture or is unduly prejudicial to the rights of any other Holder or that would involve the Trustee in personal liability (it being understood that the Trustee shall not have an affirmative duty to ascertain whether or not any such direction is unduly prejudicial to any other Holder) or for which it has not received indemnity or security satisfactory to the Trustee against any loss, liability or expense. The Holders of a majority in aggregate principal amount of the Notes at the time outstanding determined in accordance with ‎Section 8.04 may on behalf of the Holders of all of the Notes waive any past Default or Event of Default hereunder and its consequences except (i) a continuing default in the payment of accrued and unpaid Special Interest, if any, on, or the principal (including any Redemption Price and any Fundamental Change Repurchase Price) of, the Notes when due that has not been cured pursuant to the provisions of</w:t>
      </w:r>
    </w:p>
    <w:p>
      <w:pPr>
        <w:spacing w:after="0" w:line="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Section 6‎.01, (ii) a continuing failure by the Company to pay or deliver, as the case may be, the consideration due upon conversion of the Notes or (iii) a continuing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any Default or Event of Default hereunder shall have been waived as permitted by this ‎Section 6.09, said Default or Event of Default shall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the Notes and this Indenture be deemed to have been cured and to be not continuing; but no such waiver shall extend to any subsequent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Default or Event of Default or impair any right consequent thereon.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Section 6.10</w:t>
      </w:r>
      <w:r>
        <w:rPr>
          <w:rFonts w:ascii="Times New Roman" w:cs="Times New Roman" w:eastAsia="Times New Roman" w:hAnsi="Times New Roman"/>
          <w:sz w:val="18"/>
          <w:szCs w:val="18"/>
          <w:i w:val="1"/>
          <w:iCs w:val="1"/>
          <w:color w:val="auto"/>
        </w:rPr>
        <w:t>. Notice of Defaults.</w:t>
      </w:r>
      <w:r>
        <w:rPr>
          <w:rFonts w:ascii="Times New Roman" w:cs="Times New Roman" w:eastAsia="Times New Roman" w:hAnsi="Times New Roman"/>
          <w:sz w:val="18"/>
          <w:szCs w:val="18"/>
          <w:color w:val="auto"/>
        </w:rPr>
        <w:t xml:space="preserve"> The Trustee shall, within 90 days after a Responsible Officer obtains actual knowledge of the occurrence and continuance of a Default, deliver to all Holders notice of all Defaults actually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a Default in the payment of the principal of (including the Redemption Price and the Fundamental Change Repurchase Price, if applicable), or any accrued and unpaid Special Interest on, any of the Notes or a Default in the payment or delivery of the consideration due upon conversion, the Trustee shall be protected in withholding such notice if and so long as a Responsible Officer of the Trustee in good faith determines that the withholding of such notice is in the interests of the Holders.  </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Section 6.11</w:t>
      </w:r>
      <w:r>
        <w:rPr>
          <w:rFonts w:ascii="Times New Roman" w:cs="Times New Roman" w:eastAsia="Times New Roman" w:hAnsi="Times New Roman"/>
          <w:sz w:val="18"/>
          <w:szCs w:val="18"/>
          <w:i w:val="1"/>
          <w:iCs w:val="1"/>
          <w:color w:val="auto"/>
        </w:rPr>
        <w:t>. Undertaking to Pay Costs.</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‎Section 6.11 (to the extent permitted by law) shall not apply to any suit instituted by the Trustee, to any suit instituted by any Holder, or group of Holders, holding in the</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aggregate more than 10% in principal amount of the Notes at the time outstanding determined in accordance with Section 8‎.04, or to any suit instituted by any Holder for the enforcement of the payment of the principal of or accrued and unpaid Special Interest, if any, on any Note (including, but not limited to, the Redemption Price and the Fundamental Change Repurchase Price, if applicable, with respect to the Notes being redeemed or repurchased upon a Fundamental Change, as applicable, as provided in this Indenture) on or after the due date expressed or provided for in such Note or to any suit for the enforcement of the right to convert any Note, or receive the consideration due upon conversion, in accordance with the provisions of ‎Article 14.  </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and is known to a Responsible Officer, the Trustee shall exercise such of the rights and powers vested in it by this Indenture, and use the same degree of care and skill in its exercise, as a prudent person would exercise or use under the circumstances in the conduct of such person’s own affairs under the circumstances;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to, and, if requested, provided to the Trustee indemnity or security satisfactory to the Trustee against any loss, liability, cost or expense that might be incurred by it in compliance with such request or direction.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provision of this Indenture shall be construed to relieve the Trustee from liability for its own grossly negligent action, its own grossly negligent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act or its own willful misconduct, except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prior to the occurrence of an Event of Default and after the curing or waiving of all Events of Default that may have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972"/>
        <w:spacing w:after="0" w:line="250" w:lineRule="auto"/>
        <w:rPr>
          <w:sz w:val="20"/>
          <w:szCs w:val="20"/>
          <w:color w:val="auto"/>
        </w:rPr>
      </w:pPr>
      <w:r>
        <w:rPr>
          <w:rFonts w:ascii="Times New Roman" w:cs="Times New Roman" w:eastAsia="Times New Roman" w:hAnsi="Times New Roman"/>
          <w:sz w:val="18"/>
          <w:szCs w:val="18"/>
          <w:color w:val="auto"/>
        </w:rPr>
        <w:t>(i)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972"/>
        <w:spacing w:after="0" w:line="250" w:lineRule="auto"/>
        <w:rPr>
          <w:sz w:val="20"/>
          <w:szCs w:val="20"/>
          <w:color w:val="auto"/>
        </w:rPr>
      </w:pPr>
      <w:r>
        <w:rPr>
          <w:rFonts w:ascii="Times New Roman" w:cs="Times New Roman" w:eastAsia="Times New Roman" w:hAnsi="Times New Roman"/>
          <w:sz w:val="18"/>
          <w:szCs w:val="18"/>
          <w:color w:val="auto"/>
        </w:rPr>
        <w:t>(ii)            in the absence of gross negligence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60" w:firstLine="648"/>
        <w:spacing w:after="0" w:line="260" w:lineRule="auto"/>
        <w:rPr>
          <w:sz w:val="20"/>
          <w:szCs w:val="20"/>
          <w:color w:val="auto"/>
        </w:rPr>
      </w:pPr>
      <w:r>
        <w:rPr>
          <w:rFonts w:ascii="Times New Roman" w:cs="Times New Roman" w:eastAsia="Times New Roman" w:hAnsi="Times New Roman"/>
          <w:sz w:val="18"/>
          <w:szCs w:val="18"/>
          <w:color w:val="auto"/>
        </w:rPr>
        <w:t>(b)            the Trustee shall not be liable for any action taken or error of judgment made in good faith by a Responsible Officer or Officers of the Trustee, unless it shall be proved that the Trustee was grossly negligent in ascertaining the pertinent facts;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the Trustee shall not be liable with respect to any action taken or omitted to be taken by it in good faith in accordance with the direction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not less than a majority of the aggregate principal amount of the Notes at the time outstanding determined as provided in ‎Section 8.04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time, method and place of conducting any proceeding for any remedy available to the Trustee, or exercising any trust or power conferred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Trustee, under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whether or not therein provided, every provision of this Indenture relating to the conduct or affecting the liability of, or affording protection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Trustee shall be subject to the provisions of this Section and Section 7‎.02;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  </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if any party fails to deliver a notice relating to an event the fact of which, pursuant to this Indenture, requires notice to be sent to the Trustee,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may conclusively rely on its failure to receive such notice as reason to act as if no such event occurred, unless a Responsible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had actual knowledge of such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(g)            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in the event that the Trustee is also acting as Custodian, Note Registrar, Paying Agent, Conversion Agent, Bid Solicitation Agent or transfer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hereunder, the rights and protections afforded to the Trustee pursuant to this Article 7‎ shall also be afforded to such Custodian, Note Registrar, Paying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Conversion Agent, Bid Solicitation Agent or transfer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40" w:firstLine="648"/>
        <w:spacing w:after="0" w:line="260" w:lineRule="auto"/>
        <w:rPr>
          <w:sz w:val="20"/>
          <w:szCs w:val="20"/>
          <w:color w:val="auto"/>
        </w:rPr>
      </w:pPr>
      <w:r>
        <w:rPr>
          <w:rFonts w:ascii="Times New Roman" w:cs="Times New Roman" w:eastAsia="Times New Roman" w:hAnsi="Times New Roman"/>
          <w:sz w:val="18"/>
          <w:szCs w:val="18"/>
          <w:color w:val="auto"/>
        </w:rPr>
        <w:t>None of the provisions contained in this Indenture or the Notes shall require the Trustee to expend or risk its own funds or otherwise incur personal financial liability in the performance of any of its duties or in the exercise of any of its rights or powers.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7.02</w:t>
      </w:r>
      <w:r>
        <w:rPr>
          <w:rFonts w:ascii="Times New Roman" w:cs="Times New Roman" w:eastAsia="Times New Roman" w:hAnsi="Times New Roman"/>
          <w:sz w:val="18"/>
          <w:szCs w:val="18"/>
          <w:i w:val="1"/>
          <w:iCs w:val="1"/>
          <w:color w:val="auto"/>
        </w:rPr>
        <w:t>. 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the Trustee may conclusively rely and shall be fully protected in acting upon any resolution, certificate, statement, instrument, opinion, report, notice, request, consent, order, bond, note, coupon or other paper or document (whether in its original or facsimile form) believed by it in good faith to be genuine and to have been signed or presented by the proper party or parties;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any request, direction, order or demand of the Company mentioned herein shall be sufficiently evidenced by an Officers’ Certificate (unless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evidence in respect thereof be herein specifically prescribed); and any Board Resolution may be evidenced to the Trustee by a copy thereof certified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Secretary or an Assistant Secretary of the Company, and the Trustee will not be liable for any action it takes or omits to take in good faith reliance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(c)            the Trustee may consult with counsel and may require an Officers’ Certificate or Opinion of Counsel and any advice of such counsel, Officers’ Certificate or Opinion of Counsel shall be full and complete authorization and protection in respect of any action taken or omitted by it hereunder in good faith and in accordance with such advice or Officers’ Certificate or Opinion of Counsel;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the Trustee shall not be bound to make any investigation into the facts or matters stated in any resolution, certificate, statement, instrument,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report, notice, request, direction, consent, order, bond, debenture or other paper or document, but the Trustee, in its discretion, may make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inquiry or investigation into such facts or matters as it may see fit, and, if the Trustee shall determine in its reasonable judgment to make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inquiry or investigation, it shall be entitled, at a reasonable time on any Business Day after reasonable notice, to examine the books, records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of the Company, personally or by agent or attorney at the expense of the Company and shall incur no liability of any kind by reason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inquiry or investigation;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Trustee may execute any of the trusts or powers hereunder or perform any duties hereunder either directly or by or through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custodians, nominees or attorneys and the Trustee shall not be responsible for any action, inaction, misconduct or negligence on the part of any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 nominee or attorney appointed by it with due care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the rights, privileges, protections, immunities and benefits given to the Trustee, including, without limitation, its right to be indemnified,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to, and shall be enforceable by, the Trustee in each of its capacities hereunder, and each agent, Custodian or other Person employed to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the permissive rights of the Trustee enumerated herein shall not be construed as duties;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the Trustee shall not be required to give any bond or surety in respect of the execution of the trusts and powers under this Indenture;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circumstances shall the Trustee be liable in its individual capacity for the obligations evidenced by the Notes; the Trustee may request that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an Officers’ Certificate setting forth the names of individuals and the titles of officers authorized at such time to take specified actions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Indenture, which Officers’ Certificate may be signed by any Person authorized to sign an Officers’ Certificate, including any Person specified as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in any such certificate previously delivered and not superseded;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Trustee shall have no obligation to pursue any action that is not in accordance with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(j)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costs, expenses and liabilities which might be incurred by it in compliance with such request or direction; and  </w:t>
      </w:r>
    </w:p>
    <w:p>
      <w:pPr>
        <w:spacing w:after="0" w:line="204" w:lineRule="exact"/>
        <w:rPr>
          <w:sz w:val="20"/>
          <w:szCs w:val="20"/>
          <w:color w:val="auto"/>
        </w:rPr>
      </w:pPr>
    </w:p>
    <w:p>
      <w:pPr>
        <w:ind w:right="260" w:firstLine="648"/>
        <w:spacing w:after="0" w:line="260" w:lineRule="auto"/>
        <w:rPr>
          <w:sz w:val="20"/>
          <w:szCs w:val="20"/>
          <w:color w:val="auto"/>
        </w:rPr>
      </w:pPr>
      <w:r>
        <w:rPr>
          <w:rFonts w:ascii="Times New Roman" w:cs="Times New Roman" w:eastAsia="Times New Roman" w:hAnsi="Times New Roman"/>
          <w:sz w:val="18"/>
          <w:szCs w:val="18"/>
          <w:color w:val="auto"/>
        </w:rPr>
        <w:t>(k)            the Trustee shall not be liable for any action taken, suffered, or omitted to be taken by it in good faith and reasonably believed by it to be authorized or within the discretion or rights or powers conferred upon it by this Indenture.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punitive, special, indirect or consequential loss or damage of any kind whatsoever (including but not limited to lost profits), even if the Trustee has been advised of the likelihood of such loss or damage and regardless of the form of action. The Trustee shall not be charged with knowledge of (or be required to act including the sending of any notices with respect to) any Default or Event of Default with respect to the Notes, unless either (1) a Responsible Officer shall have actual knowledge of such Default or Event of Default or (2) written notice of such Default or Event of Default shall have been actually received by a Responsible Officer of the Trustee, subject to the terms hereof.  </w:t>
      </w:r>
    </w:p>
    <w:p>
      <w:pPr>
        <w:spacing w:after="0" w:line="20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No Responsibility for Recitals, Etc.</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or the Common Stock (or other Reference Property) underlying the 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the Indenture. The Trustee shall have no responsibility or liability with respect to any information, statement or recital in the Offering Memorandum or other disclosure material prepared or distributed with respect to the issuance of the Notes.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any Conversion Agent, Bid Solicitation Agent (if other than the Company or any Affiliate thereof) or Note Registrar, in its individual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may become the owner or pledgee of Notes with the same rights it would have if it were not the Trustee, Paying Agent, Conversion Agent, Bid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Solicitation Agent or Note 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and Shares of Common Stock to Be Held in Trust.</w:t>
      </w:r>
      <w:r>
        <w:rPr>
          <w:rFonts w:ascii="Times New Roman" w:cs="Times New Roman" w:eastAsia="Times New Roman" w:hAnsi="Times New Roman"/>
          <w:sz w:val="18"/>
          <w:szCs w:val="18"/>
          <w:color w:val="auto"/>
        </w:rPr>
        <w:t xml:space="preserve"> All monies and shares of Common Stock received by the Trustee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used or applied as herein provided, be held in trust for the purposes for which they were received. Money and shares of Common Stock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in trust hereunder need not be segregated from other funds except to the extent required by law. The Trustee shall be under no liability for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any money or shares of Common Stock received by it hereunder except as may be agreed to in writing from time to time by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Section 7.06</w:t>
      </w:r>
      <w:r>
        <w:rPr>
          <w:rFonts w:ascii="Times New Roman" w:cs="Times New Roman" w:eastAsia="Times New Roman" w:hAnsi="Times New Roman"/>
          <w:sz w:val="18"/>
          <w:szCs w:val="18"/>
          <w:i w:val="1"/>
          <w:iCs w:val="1"/>
          <w:color w:val="auto"/>
        </w:rPr>
        <w:t>. Compensation and Expenses of Trustee.</w:t>
      </w:r>
      <w:r>
        <w:rPr>
          <w:rFonts w:ascii="Times New Roman" w:cs="Times New Roman" w:eastAsia="Times New Roman" w:hAnsi="Times New Roman"/>
          <w:sz w:val="18"/>
          <w:szCs w:val="18"/>
          <w:color w:val="auto"/>
        </w:rPr>
        <w:t xml:space="preserve"> The Company covenants and agrees to pay to the Trustee, in each capacity under this Indenture,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fees, costs, expenses, disbursements and advances reasonably incurred or made by the Trustee in accordance with any of the provisions of this Indenture in any capacity thereunder (including the compensation and the reasonable expenses and disbursements of its agents and counsel and of all Persons not regularly in its employ) except any such expense, disbursement or advance as shall have been caused by its gross negligence or willful misconduct as adjudicated by a court of competent jurisdiction. The Company also covenants to indemnify the Trustee in any capacity under this Indenture and any other document or transaction entered into in connection herewith and its agents and any authenticating agent for, and to hold them harmless against, any loss, claim, damage, liability, cost, fees or expense (including attorneys’ fees and expenses and court costs) incurred without gross negligence or willful misconduct, as adjudicated by a court of competent jurisdiction, on the part of the Trustee, its officers, directors, agents or employees, or such agent or authenticating agent, as the case may be, and arising out of or in connection with the acceptance or administration of this Indenture or in any other capacity hereunder (whether the claims arise by or against the Company or a third person), including the costs and expenses of defending themselves against any claim of liability (including attorneys’ fees and expenses and court costs) in the premises or enforcing the Company’s obligations, including the Trustee’s right to indemnity, hereunder.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w:t>
      </w:r>
    </w:p>
    <w:p>
      <w:pPr>
        <w:spacing w:after="0" w:line="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obligations of the Company under Article 7 shall survive the satisfaction and discharge of this Indenture and the earlier resignation or removal of the Trustee. The Company need not pay for any settlement made without its consent, which consent shall not be unreasonably withheld. The indemnification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this Section 7‎.06 shall extend to the officers, directors, agents and employees of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w:t>
      </w:r>
    </w:p>
    <w:p>
      <w:pPr>
        <w:spacing w:after="0" w:line="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incur expenses or render services after an Event of Default specified in Section 6‎.01(h) or Section 6‎.01(i) occurs, the expenses and the compensation for the services are intended to constitute expenses of administration under any bankruptcy, insolvency or similar laws.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r>
        <w:rPr>
          <w:rFonts w:ascii="Times New Roman" w:cs="Times New Roman" w:eastAsia="Times New Roman" w:hAnsi="Times New Roman"/>
          <w:sz w:val="18"/>
          <w:szCs w:val="18"/>
          <w:color w:val="auto"/>
        </w:rPr>
        <w:t xml:space="preserve"> Except as otherwise provided in Section 7‎.01, whenever in the administration of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Indenture the Trustee shall deem it necessary or desirable that a matter be proved or established prior to taking or omitting any action hereunder,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matter (unless other evidence in respect thereof be herein specifically prescribed) may, in the absence of gross negligence or willful misconduct, on the part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Trustee, be deemed to be conclusively proved and established by an Officers’ Certificate delivered to the Trustee, and such Officers’ Certificate,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absence of gross negligence or willful misconduct on the part of the Trustee, shall be full warrant to the Trustee for any action taken or omitted by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provisions of this Indenture upon the faith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Section 7.08</w:t>
      </w:r>
      <w:r>
        <w:rPr>
          <w:rFonts w:ascii="Times New Roman" w:cs="Times New Roman" w:eastAsia="Times New Roman" w:hAnsi="Times New Roman"/>
          <w:sz w:val="18"/>
          <w:szCs w:val="18"/>
          <w:i w:val="1"/>
          <w:iCs w:val="1"/>
          <w:color w:val="auto"/>
        </w:rPr>
        <w:t>. 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7.09</w:t>
      </w:r>
      <w:r>
        <w:rPr>
          <w:rFonts w:ascii="Times New Roman" w:cs="Times New Roman" w:eastAsia="Times New Roman" w:hAnsi="Times New Roman"/>
          <w:sz w:val="18"/>
          <w:szCs w:val="18"/>
          <w:i w:val="1"/>
          <w:iCs w:val="1"/>
          <w:color w:val="auto"/>
        </w:rPr>
        <w:t>. Resignation or Removal of Trustee.</w:t>
      </w:r>
      <w:r>
        <w:rPr>
          <w:rFonts w:ascii="Times New Roman" w:cs="Times New Roman" w:eastAsia="Times New Roman" w:hAnsi="Times New Roman"/>
          <w:sz w:val="18"/>
          <w:szCs w:val="18"/>
          <w:color w:val="auto"/>
        </w:rPr>
        <w:t xml:space="preserve"> (a) The Trustee may at any time resign by giving written notice of such resignation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by delivering notice thereof to the Holders. Upon receiving such notice of resignation, the Company shall promptly appoint a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by written instrument, in duplicate, executed by order of the Board of Directors, one copy of which instrument shall be delivered to the resigning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and one copy to the successor trustee. If no successor trustee shall have been so appointed and have accepted appointment within 60 days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of such notice of resignation to the Holders, the resigning Trustee may, at the expense of the Company, upon ten Business Days’ notice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Holders, petition any court of competent jurisdiction for the appointment of a successor trustee, or any Holder who has been a bona fide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a Note or Notes for at least six months (or since the date of this Indenture) may, subject to the provisions of ‎Section 6.11, on behalf of himself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herself and all others similarly situated, petition any such court for the appointment of a successor trustee. Such court may thereupon, after such notice,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as it may deem proper and prescribe, appoint a successor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In case at any time any of the following shall occur: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0" w:firstLine="972"/>
        <w:spacing w:after="0" w:line="250" w:lineRule="auto"/>
        <w:rPr>
          <w:sz w:val="20"/>
          <w:szCs w:val="20"/>
          <w:color w:val="auto"/>
        </w:rPr>
      </w:pPr>
      <w:r>
        <w:rPr>
          <w:rFonts w:ascii="Times New Roman" w:cs="Times New Roman" w:eastAsia="Times New Roman" w:hAnsi="Times New Roman"/>
          <w:sz w:val="18"/>
          <w:szCs w:val="18"/>
          <w:color w:val="auto"/>
        </w:rPr>
        <w:t>(i)            the Trustee shall cease to be eligible in accordance with the provisions of ‎Section 7.08 and shall fail to resign after written request therefor by the Company or by any such Holder,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972"/>
        <w:spacing w:after="0" w:line="250" w:lineRule="auto"/>
        <w:rPr>
          <w:sz w:val="20"/>
          <w:szCs w:val="20"/>
          <w:color w:val="auto"/>
        </w:rPr>
      </w:pPr>
      <w:r>
        <w:rPr>
          <w:rFonts w:ascii="Times New Roman" w:cs="Times New Roman" w:eastAsia="Times New Roman" w:hAnsi="Times New Roman"/>
          <w:sz w:val="18"/>
          <w:szCs w:val="18"/>
          <w:color w:val="auto"/>
        </w:rPr>
        <w:t>(ii)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7"/>
          <w:szCs w:val="17"/>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w:t>
      </w:r>
    </w:p>
    <w:p>
      <w:pPr>
        <w:spacing w:after="0"/>
        <w:rPr>
          <w:sz w:val="20"/>
          <w:szCs w:val="20"/>
          <w:color w:val="auto"/>
        </w:rPr>
      </w:pPr>
      <w:r>
        <w:rPr>
          <w:rFonts w:ascii="Times New Roman" w:cs="Times New Roman" w:eastAsia="Times New Roman" w:hAnsi="Times New Roman"/>
          <w:sz w:val="17"/>
          <w:szCs w:val="17"/>
          <w:color w:val="auto"/>
        </w:rPr>
        <w:t>trustee, or, subject to the provisions of Section 6‎.11, any Holder who has been a bona fide holder of a Note or Notes for at least six months (or since the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Indenture) may, on behalf of himself or herself and all others similarly situated, petition any court of competent jurisdiction for the removal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and the appointment of a successor trustee. Such court may thereupon, after such notice, if any, as it may deem proper and prescribe, remove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and appoint a successor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Holders of a majority in aggregate principal amount of the Notes at the time outstanding, as determined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8.04, may at any time remove the Trustee upon 30 days’ advance written notice to the Trustee and the Company and nominate a successor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shall be deemed appointed as successor trustee unless within ten days after notice to the Company of such nomination the Company objects thereto,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case the Trustee so removed or any Holder, upon the terms and conditions and otherwise as in Section 7‎.09(a) provided, may petition any court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competent jurisdiction for an appointment of a successor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(d)            Any resignation or removal of the Trustee and appointment of a successor trustee pursuant to any of the provisions of this Section 7‎.09 shall become effective upon acceptance of appointment by the successor trustee as provided in ‎Section 7.10.  </w:t>
      </w:r>
    </w:p>
    <w:p>
      <w:pPr>
        <w:spacing w:after="0" w:line="200"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Section 7.10</w:t>
      </w:r>
      <w:r>
        <w:rPr>
          <w:rFonts w:ascii="Times New Roman" w:cs="Times New Roman" w:eastAsia="Times New Roman" w:hAnsi="Times New Roman"/>
          <w:sz w:val="17"/>
          <w:szCs w:val="17"/>
          <w:i w:val="1"/>
          <w:iCs w:val="1"/>
          <w:color w:val="auto"/>
        </w:rPr>
        <w:t>. Acceptance by Successor Trustee.</w:t>
      </w:r>
      <w:r>
        <w:rPr>
          <w:rFonts w:ascii="Times New Roman" w:cs="Times New Roman" w:eastAsia="Times New Roman" w:hAnsi="Times New Roman"/>
          <w:sz w:val="17"/>
          <w:szCs w:val="17"/>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7.06, execute and deliver an instrument transferring to such successor trustee all the rights and powers of the trustee so ceasing to act. Upon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successor trustee, the Company shall execute any and all instruments in writing for more fully and certainly vesting in and confirming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trustee all such rights and powers. Any trustee ceasing to act shall, nevertheless, retain a senior lien to which the Notes are hereby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 on all money or property held or collected by such trustee as such, except for funds held in trust for the benefit of Holders of particular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secure any amounts then due it pursuant to the provisions of ‎Section 7.06.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successor trustee shall accept appointment as provided in this ‎Section 7.10 unless at the time of such acceptance such successor trustee shall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under the provisions of Section 7‎.08.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direction and at the expense of the Company shall deliver or cause to be delivered notice of the succession of such trustee hereunder to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fails to deliver such notice within ten days after acceptance of appointment by the successor trustee, the successor trustee shall cause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to be delivered at the expense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r>
        <w:rPr>
          <w:rFonts w:ascii="Times New Roman" w:cs="Times New Roman" w:eastAsia="Times New Roman" w:hAnsi="Times New Roman"/>
          <w:sz w:val="18"/>
          <w:szCs w:val="18"/>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corporation or other entity succeeding to all or substantially all of the corporate trust business of the Trustee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other entity shall be eligible under the provisions of Section 7‎.08.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case at the time such successor to the Trustee shall succeed to the trusts created by this Indenture, any of the Notes shall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authenticated but not delivered, any such successor to the Trustee may adopt the certificate of authentication of any predecessor trustee or authenticating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appointed by such predecessor trustee, and deliver such Notes so authenticated; and in case at that time any of the Notes shall not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authenticated, any successor to the Trustee or an authenticating agent appointed by such successor trustee may authenticate such Notes either in the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predecessor trustee hereunder or in the name of the successor trustee; and in all such cases such certificates shall have the full force which it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 of any predecessor trustee or to authenticate Notes in the name of any predecessor trustee shall apply only to its successor or successors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conversion or consolidation.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Section 7.12</w:t>
      </w:r>
      <w:r>
        <w:rPr>
          <w:rFonts w:ascii="Times New Roman" w:cs="Times New Roman" w:eastAsia="Times New Roman" w:hAnsi="Times New Roman"/>
          <w:sz w:val="17"/>
          <w:szCs w:val="17"/>
          <w:i w:val="1"/>
          <w:iCs w:val="1"/>
          <w:color w:val="auto"/>
        </w:rPr>
        <w:t>. Trustee’s Application for Instructions from the Company.</w:t>
      </w:r>
      <w:r>
        <w:rPr>
          <w:rFonts w:ascii="Times New Roman" w:cs="Times New Roman" w:eastAsia="Times New Roman" w:hAnsi="Times New Roman"/>
          <w:sz w:val="17"/>
          <w:szCs w:val="17"/>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is deemed to be received pursuant to Section 17.03,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Section 8.01</w:t>
      </w:r>
      <w:r>
        <w:rPr>
          <w:rFonts w:ascii="Times New Roman" w:cs="Times New Roman" w:eastAsia="Times New Roman" w:hAnsi="Times New Roman"/>
          <w:sz w:val="18"/>
          <w:szCs w:val="18"/>
          <w:i w:val="1"/>
          <w:iCs w:val="1"/>
          <w:color w:val="auto"/>
        </w:rPr>
        <w:t>. Action by Holders.</w:t>
      </w:r>
      <w:r>
        <w:rPr>
          <w:rFonts w:ascii="Times New Roman" w:cs="Times New Roman" w:eastAsia="Times New Roman" w:hAnsi="Times New Roman"/>
          <w:sz w:val="18"/>
          <w:szCs w:val="18"/>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voting in favor thereof at any meeting of Holders duly called and held in accordance with the provisions of ‎Article 9, or (c) by a combination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instrument or instruments and any such record of such a meeting of Holders. Whenever the Company or the Trustee solicits the taking of any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Holders of the Notes, the Company or the Trustee may, but shall not be required to, fix in advance of such solicitation, a date as the record date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determining Holders entitled to take such action. The record date if one is selected shall be not more than fifteen days prior to the date of commencement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solicitation of such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Section 8.02</w:t>
      </w:r>
      <w:r>
        <w:rPr>
          <w:rFonts w:ascii="Times New Roman" w:cs="Times New Roman" w:eastAsia="Times New Roman" w:hAnsi="Times New Roman"/>
          <w:sz w:val="18"/>
          <w:szCs w:val="18"/>
          <w:i w:val="1"/>
          <w:iCs w:val="1"/>
          <w:color w:val="auto"/>
        </w:rPr>
        <w:t>. Proof of Execution by Holders.</w:t>
      </w:r>
      <w:r>
        <w:rPr>
          <w:rFonts w:ascii="Times New Roman" w:cs="Times New Roman" w:eastAsia="Times New Roman" w:hAnsi="Times New Roman"/>
          <w:sz w:val="18"/>
          <w:szCs w:val="18"/>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  </w:t>
      </w:r>
    </w:p>
    <w:p>
      <w:pPr>
        <w:spacing w:after="0" w:line="20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Section 8.03</w:t>
      </w:r>
      <w:r>
        <w:rPr>
          <w:rFonts w:ascii="Times New Roman" w:cs="Times New Roman" w:eastAsia="Times New Roman" w:hAnsi="Times New Roman"/>
          <w:sz w:val="17"/>
          <w:szCs w:val="17"/>
          <w:i w:val="1"/>
          <w:iCs w:val="1"/>
          <w:color w:val="auto"/>
        </w:rPr>
        <w:t>. Who Are Deemed Absolute Owners.</w:t>
      </w:r>
      <w:r>
        <w:rPr>
          <w:rFonts w:ascii="Times New Roman" w:cs="Times New Roman" w:eastAsia="Times New Roman" w:hAnsi="Times New Roman"/>
          <w:sz w:val="17"/>
          <w:szCs w:val="17"/>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Fundamental Change Repurchase Price) of and (subject to Section 2‎.03) accrued and unpaid Special Interest, if any, on such Note, for conversion of such Note and for all other purposes;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  </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Section 8.04</w:t>
      </w:r>
      <w:r>
        <w:rPr>
          <w:rFonts w:ascii="Times New Roman" w:cs="Times New Roman" w:eastAsia="Times New Roman" w:hAnsi="Times New Roman"/>
          <w:sz w:val="18"/>
          <w:szCs w:val="18"/>
          <w:i w:val="1"/>
          <w:iCs w:val="1"/>
          <w:color w:val="auto"/>
        </w:rPr>
        <w:t>. Company-Owned Notes Disregarded.</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purposes of determining whether the Trustee shall be protected in relying on any such direction, consent, waiver or other action,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or indecision by the Trustee taken upon the advice of counsel shall be full protection to the Trustee. Upon request of the Trustee, the Company shall furnish to the Trustee promptly an Officers’ Certificate listing and identifying all Notes, if any, known by the Company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owned or held by or for the account of any of the above described Persons; and, subject to ‎Section 7.01, the Trustee shall be entitled to accept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 as conclusive evidence of the facts therein set forth and of the fact that all Notes not listed therein are outstanding for the purpose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8.05</w:t>
      </w:r>
      <w:r>
        <w:rPr>
          <w:rFonts w:ascii="Times New Roman" w:cs="Times New Roman" w:eastAsia="Times New Roman" w:hAnsi="Times New Roman"/>
          <w:sz w:val="18"/>
          <w:szCs w:val="18"/>
          <w:i w:val="1"/>
          <w:iCs w:val="1"/>
          <w:color w:val="auto"/>
        </w:rPr>
        <w:t>. Revocation of Consents; Future Holders Bound.</w:t>
      </w:r>
      <w:r>
        <w:rPr>
          <w:rFonts w:ascii="Times New Roman" w:cs="Times New Roman" w:eastAsia="Times New Roman" w:hAnsi="Times New Roman"/>
          <w:sz w:val="18"/>
          <w:szCs w:val="18"/>
          <w:color w:val="auto"/>
        </w:rPr>
        <w:t xml:space="preserve"> At any time prior to (but not after) the evidencing to the Trustee,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8.01, of the taking of any action by the Holders of the percentage of the aggregate principal amount of the Notes specified in this Indenture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such action, any Holder of a Note that is shown by the evidence to be included in the Notes the Holders of which have consented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action may, by filing written notice with the Trustee at its Corporate Trust Office and upon proof of holding as provided in ‎Section 8.02, revoke such action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far as concerns such Note. Except as aforesaid, any such action taken by the Holder of any Note shall be conclusive and binding upon such Holder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all future Holders and owners of such Note and of any Notes issued in exchange or substitution therefor or upon registration of transfer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irrespective of whether any notation in regard thereto is made upon such Note or any Note issued in exchange or substitution therefor or upon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transfer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9</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 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for any of the following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to give any notice to the Company or to the Trustee or to give any directions to the Trustee permitted under this Indenture, or to consent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waiving of any Default or Event of Default hereunder (in each case, as permitted under this Indenture) and its consequences, or to take any other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to be taken by Holders pursuant to any of the provisions of Article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to remove the Trustee and nominate a successor trustee pursuant to the provisions of Article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to consent to the execution of an indenture or indentures supplemental hereto pursuant to the provisions of Section 10‎.02;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to take any other action authorized to be taken by or on behalf of the Holders of any specified aggregate principal amount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other provision of this Indenture or under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9.02</w:t>
      </w:r>
      <w:r>
        <w:rPr>
          <w:rFonts w:ascii="Times New Roman" w:cs="Times New Roman" w:eastAsia="Times New Roman" w:hAnsi="Times New Roman"/>
          <w:sz w:val="17"/>
          <w:szCs w:val="17"/>
          <w:i w:val="1"/>
          <w:iCs w:val="1"/>
          <w:color w:val="auto"/>
        </w:rPr>
        <w:t>. Call of Meetings by Trustee.</w:t>
      </w:r>
      <w:r>
        <w:rPr>
          <w:rFonts w:ascii="Times New Roman" w:cs="Times New Roman" w:eastAsia="Times New Roman" w:hAnsi="Times New Roman"/>
          <w:sz w:val="17"/>
          <w:szCs w:val="17"/>
          <w:color w:val="auto"/>
        </w:rPr>
        <w:t xml:space="preserve"> The Trustee may at any time call a meeting of Holders to take any action specified in ‎Section 9.01,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at such time and at such place as the Trustee shall determine. Notice of every meeting of the Holders, setting forth the time and the place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and in general terms the action proposed to be taken at such meeting and the establishment of any record date pursuant to ‎Section 8.01,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Holders of such Notes. Such notice shall also be delivered to the Company. Such notices shall be delivered not less than 20 nor more than 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prior to the date fixed for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 before or after the meeting by the Holders of all Notes then outstanding, and if the Company and the Trustee are either present by duly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or have, before or after the meeting, waived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i w:val="1"/>
          <w:iCs w:val="1"/>
          <w:color w:val="auto"/>
        </w:rPr>
        <w:t>. 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take any action authorized in Section 9‎.01, by delivering notice thereof as provided in Section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Section 9.04</w:t>
      </w:r>
      <w:r>
        <w:rPr>
          <w:rFonts w:ascii="Times New Roman" w:cs="Times New Roman" w:eastAsia="Times New Roman" w:hAnsi="Times New Roman"/>
          <w:sz w:val="18"/>
          <w:szCs w:val="18"/>
          <w:i w:val="1"/>
          <w:iCs w:val="1"/>
          <w:color w:val="auto"/>
        </w:rPr>
        <w:t>. Qualifications for Voting.</w:t>
      </w:r>
      <w:r>
        <w:rPr>
          <w:rFonts w:ascii="Times New Roman" w:cs="Times New Roman" w:eastAsia="Times New Roman" w:hAnsi="Times New Roman"/>
          <w:sz w:val="18"/>
          <w:szCs w:val="18"/>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 Regulations.</w:t>
      </w:r>
      <w:r>
        <w:rPr>
          <w:rFonts w:ascii="Times New Roman" w:cs="Times New Roman" w:eastAsia="Times New Roman" w:hAnsi="Times New Roman"/>
          <w:sz w:val="18"/>
          <w:szCs w:val="18"/>
          <w:color w:val="auto"/>
        </w:rPr>
        <w:t xml:space="preserve"> Notwithstanding any other provisions of this Indenture, the Trustee may make such reasonable regulations as it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 advisable for any meeting of Holders, in regard to proof of the holding of Notes and of the appointment of proxies, and in regard to the appointment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duties of inspectors of votes, the submission and examination of proxies, certificates and other evidence of the right to vote, and such other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the conduct of the meeting as it shall think 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w:t>
      </w:r>
    </w:p>
    <w:p>
      <w:pPr>
        <w:spacing w:after="0" w:line="9"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color w:val="auto"/>
        </w:rPr>
        <w:t>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  </w:t>
      </w:r>
    </w:p>
    <w:p>
      <w:pPr>
        <w:spacing w:after="0" w:line="2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Section 9.06</w:t>
      </w:r>
      <w:r>
        <w:rPr>
          <w:rFonts w:ascii="Times New Roman" w:cs="Times New Roman" w:eastAsia="Times New Roman" w:hAnsi="Times New Roman"/>
          <w:sz w:val="17"/>
          <w:szCs w:val="17"/>
          <w:i w:val="1"/>
          <w:iCs w:val="1"/>
          <w:color w:val="auto"/>
        </w:rPr>
        <w:t>. Voting.</w:t>
      </w:r>
      <w:r>
        <w:rPr>
          <w:rFonts w:ascii="Times New Roman" w:cs="Times New Roman" w:eastAsia="Times New Roman" w:hAnsi="Times New Roman"/>
          <w:sz w:val="17"/>
          <w:szCs w:val="17"/>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the meeting and showing that said notice was delivered as provided in Section 9‎.02. The record shall show the aggregate principal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voting in favor of or against any resolution. The record shall be signed and verified by the affidavits of the permanent chairman and secretary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and one of the duplicates shall be delivered to the Company and the other to the Trustee to be preserved by the Trustee, the latter to have 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the ballots voted at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 No Delay of Rights by Meeting.</w:t>
      </w:r>
      <w:r>
        <w:rPr>
          <w:rFonts w:ascii="Times New Roman" w:cs="Times New Roman" w:eastAsia="Times New Roman" w:hAnsi="Times New Roman"/>
          <w:sz w:val="18"/>
          <w:szCs w:val="18"/>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10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Without Consent of Holders.</w:t>
      </w:r>
      <w:r>
        <w:rPr>
          <w:rFonts w:ascii="Times New Roman" w:cs="Times New Roman" w:eastAsia="Times New Roman" w:hAnsi="Times New Roman"/>
          <w:sz w:val="18"/>
          <w:szCs w:val="18"/>
          <w:color w:val="auto"/>
        </w:rPr>
        <w:t xml:space="preserve"> The Company and the Trustee, at the Company’s expense, may from time to time and at any time enter into an indenture or indentures supplemental hereto for one or more of the following purposes: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to cure any ambiguity, omission, defect or inconsistency, as evidenced to the Trustee in an 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to provide for the assumption by a Successor Company of the obligations of the Company under this Indenture and the Notes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to add guarantees with respect to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to secure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to add to the covenants or Events of Default of the Company for the benefit of the Holders or surrender any right or power conferred upon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to make any change that does not adversely affect the rights of any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to increase the Conversion Rate as provided in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to irrevocably elect a Settlement Method and/or Specified Dollar Amount (or a minimum Specified Dollar Amount) or eliminate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right to elect a Settlement Method;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            in connection with any Share Exchange Event, to provide that the Notes are convertible into Reference Property, subject to the provisions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14‎.02, and make such related changes to the terms of the Notes to the extent expressly required by Section 14‎.07;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to appoint a successor trustee or facilitate the administration of the trusts under this Indenture by more than one trustee, in each case,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(k)            to comply with the rules of any applicable securities depositary in a manner that does not adversely affect the rights of any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to conform the provisions of this Indenture or the Notes to any provision of the “Description of Notes” section of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Memorandum;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provide for the issuance of additional Notes in accordance with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written request of the Company, the Trustee is hereby authorized to, and shall, join with the Company in the execution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to make any further appropriate agreements and stipulations that may be therein contained, but the Trustee shall not be obligated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but may in its discretion, enter into any supplemental indenture that affects the Trustee’s own rights, duties or immunities under this Indenture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80" w:firstLine="648"/>
        <w:spacing w:after="0" w:line="260"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10.02</w:t>
      </w:r>
      <w:r>
        <w:rPr>
          <w:rFonts w:ascii="Times New Roman" w:cs="Times New Roman" w:eastAsia="Times New Roman" w:hAnsi="Times New Roman"/>
          <w:sz w:val="17"/>
          <w:szCs w:val="17"/>
          <w:i w:val="1"/>
          <w:iCs w:val="1"/>
          <w:color w:val="auto"/>
        </w:rPr>
        <w:t>. Supplemental Indentures with Consent of Holders.</w:t>
      </w:r>
      <w:r>
        <w:rPr>
          <w:rFonts w:ascii="Times New Roman" w:cs="Times New Roman" w:eastAsia="Times New Roman" w:hAnsi="Times New Roman"/>
          <w:sz w:val="17"/>
          <w:szCs w:val="17"/>
          <w:color w:val="auto"/>
        </w:rPr>
        <w:t xml:space="preserve"> With the consent (evidenced as provided in ‎Article 8) of the Holders of at least a</w:t>
      </w:r>
    </w:p>
    <w:p>
      <w:pPr>
        <w:spacing w:after="0" w:line="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shall: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reduce the principal amount of Notes whose Holders must consent to an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reduce the rate of or extend the stated time for payment of any interest (including Special Interest and interest payable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2.03(c)) on any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reduce the principal amount of or extend the Maturity Date of any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except as required pursuant to this Indenture, make any change that adversely affects the conversion rights of any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reduce the Redemption Price or the Fundamental Change Repurchase Price of any Note or amend or modify in any manner adverse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the Company’s obligation to make such payments, whether through an amendment or waiver of provisions in the covenants, definitions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make any Note payable in a currency, or at a place of payment, other than that stated in the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change the ranking of the Notes in any manner adverse to Holders;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make any change in this ‎Article 10 that requires each Holder’s consent or in the waiver provisions in ‎Section 6.02 or ‎Section 6.09.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Upon the written request of the Company, and upon the filing with the Trustee of evidence of the consent of the requisite Holders as aforesaid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‎Section 10.05, the Trustee shall join with the Company in the execution of such supplemental indenture unless such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affects the Trustee’s own rights, duties or immunities under this Indenture or otherwise, in which case the Trustee may in its discretion, but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obligated to, enter into such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(with a copy to the Trustee) a notice briefly describing such supplemental indenture. However, the failure to give such notice to all the Holders (with a copy to the Trustee), or any defect in the notice, will not impair or affect the validity of the supplemental indenture.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w:t>
      </w:r>
      <w:r>
        <w:rPr>
          <w:rFonts w:ascii="Times New Roman" w:cs="Times New Roman" w:eastAsia="Times New Roman" w:hAnsi="Times New Roman"/>
          <w:sz w:val="18"/>
          <w:szCs w:val="18"/>
          <w:color w:val="auto"/>
        </w:rPr>
        <w:t xml:space="preserve"> Upon the execution of any supplemental indenture pursuant to the provisions of this Article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Indenture shall be and be deemed to be modified and amended in accordance therewith and the respective rights, limitation of rights, obligations, duties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immunities under this Indenture of the Trustee, the Company and the Holders shall thereafter be determined, exercised and enforced hereunder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respects to such modifications and amendments and all the terms and conditions of any such supplemental indenture shall be and be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 terms and conditions of this Indenture for any and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17"/>
          <w:szCs w:val="17"/>
          <w:color w:val="auto"/>
        </w:rPr>
        <w:t>Section 10.04</w:t>
      </w:r>
      <w:r>
        <w:rPr>
          <w:rFonts w:ascii="Times New Roman" w:cs="Times New Roman" w:eastAsia="Times New Roman" w:hAnsi="Times New Roman"/>
          <w:sz w:val="17"/>
          <w:szCs w:val="17"/>
          <w:i w:val="1"/>
          <w:iCs w:val="1"/>
          <w:color w:val="auto"/>
        </w:rPr>
        <w:t>. Notation on Notes.</w:t>
      </w:r>
      <w:r>
        <w:rPr>
          <w:rFonts w:ascii="Times New Roman" w:cs="Times New Roman" w:eastAsia="Times New Roman" w:hAnsi="Times New Roman"/>
          <w:sz w:val="17"/>
          <w:szCs w:val="17"/>
          <w:color w:val="auto"/>
        </w:rPr>
        <w:t xml:space="preserve"> Notes authenticated and delivered after the execution of any supplemental indenture pursuant to the provisions of this ‎Article 10 may, at the Company’s expense, bear a notation as to any matter provided for in such supplemental indenture. If the Company or the Trustee shall so determine, new Notes so modified as to conform, in the opinion of the Board of Directors, to any modification of this Indenture contained in any such supplemental indenture may, at the Company’s expense, be prepared and executed by the Company, authenticated, upon receipt of a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by the Trustee (or an authenticating agent duly appointed by the Trustee pursuant to Section 17‎.10) and delivered in exchange for the Notes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upon surrender of such Notes then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to Be Furnished Trustee.</w:t>
      </w:r>
      <w:r>
        <w:rPr>
          <w:rFonts w:ascii="Times New Roman" w:cs="Times New Roman" w:eastAsia="Times New Roman" w:hAnsi="Times New Roman"/>
          <w:sz w:val="18"/>
          <w:szCs w:val="18"/>
          <w:color w:val="auto"/>
        </w:rPr>
        <w:t xml:space="preserve"> In addition to the documents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17‎.05, the Trustee shall receive an Officers’ Certificate and an Opinion of Counsel as conclusive evidence that any supplemental indenture executed</w:t>
      </w:r>
    </w:p>
    <w:p>
      <w:pPr>
        <w:spacing w:after="0" w:line="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pursuant hereto complies with the requirements of this Article 10‎ and is permitted or authorized by this Indenture, that all conditions precedent to such supplemental indenture have been satisfied and, with respect to such Opinion of Counsel, that such supplemental indenture constitutes a legal, valid and binding obligation of the Company, enforceable against the Company in accordance with its terms, subject to customary exceptions and qualifications.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r>
        <w:rPr>
          <w:rFonts w:ascii="Times New Roman" w:cs="Times New Roman" w:eastAsia="Times New Roman" w:hAnsi="Times New Roman"/>
          <w:sz w:val="18"/>
          <w:szCs w:val="18"/>
          <w:color w:val="auto"/>
        </w:rPr>
        <w:t xml:space="preserve"> Subject to the provisions of Section 11‎.02, the Company shall not consolidate with or merge with or into another Person or sell, convey, transfer or lease all or substantially all of the consolidated properties and assets of the Company and the Company’s Subsidiaries, taken as a whole, to another Person, unless, in either case:  </w:t>
      </w:r>
    </w:p>
    <w:p>
      <w:pPr>
        <w:spacing w:after="0" w:line="20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            the resulting, surviving or transferee Person (the “</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immediately after giving effect to such transaction, no Default or Event of Default shall have occurred and be continuing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Section 11.02</w:t>
      </w:r>
      <w:r>
        <w:rPr>
          <w:rFonts w:ascii="Times New Roman" w:cs="Times New Roman" w:eastAsia="Times New Roman" w:hAnsi="Times New Roman"/>
          <w:sz w:val="17"/>
          <w:szCs w:val="17"/>
          <w:i w:val="1"/>
          <w:iCs w:val="1"/>
          <w:color w:val="auto"/>
        </w:rPr>
        <w:t>. Successor Corporation to Be Substituted.</w:t>
      </w:r>
      <w:r>
        <w:rPr>
          <w:rFonts w:ascii="Times New Roman" w:cs="Times New Roman" w:eastAsia="Times New Roman" w:hAnsi="Times New Roman"/>
          <w:sz w:val="17"/>
          <w:szCs w:val="17"/>
          <w:color w:val="auto"/>
        </w:rPr>
        <w:t xml:space="preserve"> In case of any such consolidation, merger, sale, conveyance, transfer or lease and upon the assumption by the Successor Company, by supplemental indenture, executed and delivered to the Trustee, of the due and punctual payment of the principal of and any accrued and unpaid Special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consolidated properties and assets of the Company and the Company’s subsidiaries, taken as a whole, shall be substituted for the Company, with the same effect as if it had been named herein as the party of the 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this Article 11)‎ may be dissolved, wound up and liquidated at any time thereafter and, except in the case of a lease, such Person shall be released from its liabilities as obligor and maker of the Notes and from its obligations under this Indenture and the Notes.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case of any such consolidation, merger, sale, conveyance, transfer or lease, such changes in phraseology and form (but not in substance) may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in the Notes thereafter to be issued as may be appropriate.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11.03</w:t>
      </w:r>
      <w:r>
        <w:rPr>
          <w:rFonts w:ascii="Times New Roman" w:cs="Times New Roman" w:eastAsia="Times New Roman" w:hAnsi="Times New Roman"/>
          <w:sz w:val="18"/>
          <w:szCs w:val="18"/>
          <w:i w:val="1"/>
          <w:iCs w:val="1"/>
          <w:color w:val="auto"/>
        </w:rPr>
        <w:t>. Officers’ Certificate and Opinion of Counsel to Be Given to Trustee.</w:t>
      </w:r>
      <w:r>
        <w:rPr>
          <w:rFonts w:ascii="Times New Roman" w:cs="Times New Roman" w:eastAsia="Times New Roman" w:hAnsi="Times New Roman"/>
          <w:sz w:val="18"/>
          <w:szCs w:val="18"/>
          <w:color w:val="auto"/>
        </w:rPr>
        <w:t xml:space="preserve"> If a supplemental indenture is required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 no such consolidation, merger, sale, conveyance, transfer or lease (other than any consolidation or merger where the Company is the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shall be effective unless the Trustee shall receive an Officers’ Certificate and an Opinion of Counsel as conclusive evidence that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merger, sale, conveyance, transfer or lease and any such assumption and such supplemental indenture, complies with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Section 12.01</w:t>
      </w:r>
      <w:r>
        <w:rPr>
          <w:rFonts w:ascii="Times New Roman" w:cs="Times New Roman" w:eastAsia="Times New Roman" w:hAnsi="Times New Roman"/>
          <w:sz w:val="18"/>
          <w:szCs w:val="18"/>
          <w:i w:val="1"/>
          <w:iCs w:val="1"/>
          <w:color w:val="auto"/>
        </w:rPr>
        <w:t>. Indenture and Notes Solely Corporate Obligations.</w:t>
      </w:r>
      <w:r>
        <w:rPr>
          <w:rFonts w:ascii="Times New Roman" w:cs="Times New Roman" w:eastAsia="Times New Roman" w:hAnsi="Times New Roman"/>
          <w:sz w:val="18"/>
          <w:szCs w:val="18"/>
          <w:color w:val="auto"/>
        </w:rPr>
        <w:t xml:space="preserve"> No recourse for the payment of the principal of or accrued and unpaid Special Interest, if any,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Notes.  </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mitted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 Conversion Privilege.</w:t>
      </w:r>
      <w:r>
        <w:rPr>
          <w:rFonts w:ascii="Times New Roman" w:cs="Times New Roman" w:eastAsia="Times New Roman" w:hAnsi="Times New Roman"/>
          <w:sz w:val="18"/>
          <w:szCs w:val="18"/>
          <w:color w:val="auto"/>
        </w:rPr>
        <w:t xml:space="preserve"> (a) Subject to and upon compliance with the provisions of this Article 14,‎ each Holder of a Note shall have the right, at such Holder’s option, to convert all or any portion (if the portion to be converted is $1,000 principal amount or an integral multiple of $1,000 in excess thereof) of such Note (i) subject to satisfaction of the conditions described in ‎Section 14.01(b), at any time prior to the close of business on the</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Business Day immediately preceding March 15, 2031, under the circumstances and during the periods set forth in Section 14‎.01(b), and (ii) regardless of the conditions described in ‎Section 14.01(b), on or after March 15, 2031 and prior to the close of business on the second Scheduled Trading Day immediately preceding the Maturity Date, in each case, at an initial conversion rate of 9.3042 shares of Common Stock (subject to adjustment as provided in this</w:t>
      </w:r>
    </w:p>
    <w:p>
      <w:pPr>
        <w:spacing w:after="0"/>
        <w:rPr>
          <w:sz w:val="20"/>
          <w:szCs w:val="20"/>
          <w:color w:val="auto"/>
        </w:rPr>
      </w:pPr>
      <w:r>
        <w:rPr>
          <w:rFonts w:ascii="Times New Roman" w:cs="Times New Roman" w:eastAsia="Times New Roman" w:hAnsi="Times New Roman"/>
          <w:sz w:val="18"/>
          <w:szCs w:val="18"/>
          <w:color w:val="auto"/>
        </w:rPr>
        <w:t>Article 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            (i) Prior to the close of business on the Business Day immediately preceding March 15, 2031, a Holder may surrender all or any portion of its Notes for conversion at any time during the five Business Day period immediately after any five consecutive Trading Day period (the “</w:t>
      </w:r>
      <w:r>
        <w:rPr>
          <w:rFonts w:ascii="Times New Roman" w:cs="Times New Roman" w:eastAsia="Times New Roman" w:hAnsi="Times New Roman"/>
          <w:sz w:val="18"/>
          <w:szCs w:val="18"/>
          <w:b w:val="1"/>
          <w:bCs w:val="1"/>
          <w:color w:val="auto"/>
        </w:rPr>
        <w:t>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in which the Trading Price per $1,000 principal amount of Notes, as determined by the Company following a request by a Holder of Notes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this subsection (b)(i), for each Trading Day of the Measurement Period was less than 98% of the product of the Last Reported Sale Price of the Common Stock on each such Trading Day and the Conversion Rate on each such Trading Day. The Trading Prices shall be determined by the Company in accordance with the bids solicited by the Bid Solicitation Agent pursuant to this subsection (b)(i) 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The Bid Solicitation Agent (if other than the Company) shall have no obligation to determine the Trading Price per $1,000 principal amount of Notes unless the Company has requested in writing such determination and provided in writing the names and contact information of the three securities dealers selected by the Company to provide bids to determine the Trading Price, and the Company shall have no obligation to make such request (or, if the Company is acting as Bid Solicitation Agent, the Company shall have no obligation to determine the Trading Price per $1,000 principal amount of Notes) unless a Holder or Holders of at least $5,000,000 aggregate principal amount of Notes provide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(x) instruct the three independent nationally recognized securities dealers to deliver bids to the Bid Solicitation Agent and (y) irrevocably instruct the Bid Solicitation Agent in writing (if other than the Company) to determine, or if the Company is acting as Bid Solicitation Agent, the Company shall determine, the Trading Price per $1,000 principal amount of Notes based on the bids solicited by the Bid Solicitation Agent beginning on the next Trading Day and on each successive Trading Day until the Trading Price per $1,000 principal amount of Notes is greater than or equal to 98% of the product of the Last Reported Sale Price of the Common Stock and the Conversion Rate. If the Company is not acting as Bid Solicitation Agent, the Company shall identify in writing to the Bid Solicitation Agent the three securities dealers selected by the Company to provide bids to determine the Trading Price and the contact information for each. If (x) the Company is not acting as Bid Solicitation Agent, and the Company does not instruct the Bid Solicitation Agent in writing to determine the Trading Price per $1,000 principal amount of Notes or identify in writing to the Bid Solicitation Agent the three securities dealers selected by the Company to provide bids to determine the Trading Price and the contact information for each when obligated as provided in the two immediately preceding sentences, or if the Company gives such written instruction and information to the Bid Solicitation Agent and the Bid Solicitation Agent fails to make such determination or (y) the Company is acting as Bid Solicitation Agent and the Company fails to obtain such bids or the Company fails to determine the Trading Price when obligated as provided in the second immediately preceding sentence, then, in either case, the Trading Price 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in writing the Holders, the Trustee and the Conversion Agent (if other than the Trustee).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in writing the Holders of the Notes, the Trustee and the Conversion Agent (if other than the Trustee) and thereafter neither the Company nor the Bid Solicitation Agent (if other than the Company) shall be required to solicit bids again until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request is made as provided in this Section 14‎.01(b)(i).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If, prior to the close of business on the Business Day immediately preceding March 15, 2031, the Company elects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972"/>
        <w:spacing w:after="0" w:line="250" w:lineRule="auto"/>
        <w:rPr>
          <w:sz w:val="20"/>
          <w:szCs w:val="20"/>
          <w:color w:val="auto"/>
        </w:rPr>
      </w:pPr>
      <w:r>
        <w:rPr>
          <w:rFonts w:ascii="Times New Roman" w:cs="Times New Roman" w:eastAsia="Times New Roman" w:hAnsi="Times New Roman"/>
          <w:sz w:val="18"/>
          <w:szCs w:val="18"/>
          <w:color w:val="auto"/>
        </w:rPr>
        <w:t>(A)            issue to all or substantially all holders of the Common Stock any rights, options or warrants (other than in connection with a stockholder rights plan, so long as such rights have not separated from the Common Stock)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100" w:firstLine="972"/>
        <w:spacing w:after="0" w:line="250" w:lineRule="auto"/>
        <w:rPr>
          <w:sz w:val="20"/>
          <w:szCs w:val="20"/>
          <w:color w:val="auto"/>
        </w:rPr>
      </w:pPr>
      <w:r>
        <w:rPr>
          <w:rFonts w:ascii="Times New Roman" w:cs="Times New Roman" w:eastAsia="Times New Roman" w:hAnsi="Times New Roman"/>
          <w:sz w:val="18"/>
          <w:szCs w:val="18"/>
          <w:color w:val="auto"/>
        </w:rPr>
        <w:t>(B)            distribute to all or substantially all holders of the Common Stock the Company’s assets, securities (other than solely the Common Stock) or rights to purchase securities, which distribution has a per share value, as reasonably determined by the Company, exceeding 10% of the Last Reported Sale Price of the Common Stock on the Trading Day preceding the date of announcement for such distribution,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 xml:space="preserve">then, in either case, subject to the proviso below, the Company shall notify in writing all Holders of the Notes, the Trustee and the Conversion Agent (if other than the Trustee) at least 35 Scheduled Trading Days prior to the Ex-Dividend Date for such issuance or distribution (or, if later, in the case of any such separation of rights issued pursuant to a stockholder rights plan, as soon as reasonably practicable after the Company becomes aware that such separation or Trigger Event has occurred or will occur);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Company elects Physical Settlement (to the extent that the Company</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has not elected another Settlement Method to apply, including pursuant to Section 14‎.02) in the applicable notice in respect of all conversions that occurs from, and including, the date the Company provides such notice to, and including, the close of business on the Business Day immediately preceding the Ex-Dividend Date for such distribution or issuance (or, if earlier, the date the Company announces that such issuance or distribution will not take place) (the “</w:t>
      </w:r>
      <w:r>
        <w:rPr>
          <w:rFonts w:ascii="Times New Roman" w:cs="Times New Roman" w:eastAsia="Times New Roman" w:hAnsi="Times New Roman"/>
          <w:sz w:val="18"/>
          <w:szCs w:val="18"/>
          <w:b w:val="1"/>
          <w:bCs w:val="1"/>
          <w:color w:val="auto"/>
        </w:rPr>
        <w:t>Distribution Trigger Irrevocable Physical Settlement Period</w:t>
      </w:r>
      <w:r>
        <w:rPr>
          <w:rFonts w:ascii="Times New Roman" w:cs="Times New Roman" w:eastAsia="Times New Roman" w:hAnsi="Times New Roman"/>
          <w:sz w:val="18"/>
          <w:szCs w:val="18"/>
          <w:color w:val="auto"/>
        </w:rPr>
        <w:t xml:space="preserve">”), the Company shall be permitted to provide not less than 10 Scheduled Trading Days’ notice prior to the Ex-Dividend Date for the applicable issuance or distribution, in which case the Company shall be required to settle all conversions of Notes with a Conversion Date occurring during the Distribution Trigger Irrevocable Physical Settlement Period by Physical Settlement, and the Company shall describe the same in such notice. Once the Company has given such notice, a Holder 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(or, if later, in the case of a separation or Trigger Event pursuant to a stockholder rights plan, until the 20th Trading Day following the date on which the Company so notifies all Holders of the Notes), in each case, even if the Notes are not otherwise convertible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may not convert their Notes pursuant to this ‎Section 14.01(b) (ii) if they participate (other than in the case of a share split or share combination), at the same time and upon the same terms as holders of the Common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and solely as a result of holding the Notes, in any of the transactions described in clause (A) or (B) of this ‎Section 14.01(b)(ii) without having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convert their Notes as if they held a 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of Notes held by such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260" w:firstLine="972"/>
        <w:spacing w:after="0" w:line="250" w:lineRule="auto"/>
        <w:rPr>
          <w:sz w:val="20"/>
          <w:szCs w:val="20"/>
          <w:color w:val="auto"/>
        </w:rPr>
      </w:pPr>
      <w:r>
        <w:rPr>
          <w:rFonts w:ascii="Times New Roman" w:cs="Times New Roman" w:eastAsia="Times New Roman" w:hAnsi="Times New Roman"/>
          <w:sz w:val="18"/>
          <w:szCs w:val="18"/>
          <w:color w:val="auto"/>
        </w:rPr>
        <w:t>(iii)            If a transaction or event that constitutes a Fundamental Change or a Make-Whole Fundamental Change occurs prior to the close of business on the Business Day immediately preceding March 15, 2031, regardless of whether a Holder has the right to require the</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Company to repurchase the Notes pursuant to Section 15‎.02, or if the Company is a party to a Share Exchange Event (other than a Share Exchange Event that is solely for the purpose of changing the Company’s jurisdiction of organization that (x) does not constitute a Fundamental Change or a Make-Whole Fundamental Change and (y) results in a classification, conversion or exchange of outstanding shares of Common Stock solely into shares of common stock of the surviving entity that are listed or quoted on any of The New York Stock Exchange, The Nasdaq Global Select Market or The Nasdaq Global Market (or any of their respective successors) and such common stock becomes Reference Property for the Notes) that occurs prior to the close of business on the Business Day immediately preceding March 15, 2031 (each such Fundamental Change, Make-Whole Fundamental Change or Share Exchange Event,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all or any portion of a Holder’s Notes may be surrendered for conversion at any time after the effective date of such Corporate Event until the earlier of (x) the close of business on the Business Day immediately preceding March 15, 2031 and (y) the earlier of (I) 35 Trading Days after the actual effective date of such Corporate Event or, if such Corporate Event also constitutes a Fundamental Change, the close of business on the Business Day immediately preceding the related Fundamental Change Repurchase Date and (II) the close of business on the second Scheduled Trading Day immediately preceding the Maturity Date. The Company shall notify Holders, the Trustee and the Conversion Agent (if other than the Trustee) in writing no later than the actual effective date of any such Corporate Event.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60" w:firstLine="972"/>
        <w:spacing w:after="0" w:line="250" w:lineRule="auto"/>
        <w:rPr>
          <w:sz w:val="20"/>
          <w:szCs w:val="20"/>
          <w:color w:val="auto"/>
        </w:rPr>
      </w:pPr>
      <w:r>
        <w:rPr>
          <w:rFonts w:ascii="Times New Roman" w:cs="Times New Roman" w:eastAsia="Times New Roman" w:hAnsi="Times New Roman"/>
          <w:sz w:val="18"/>
          <w:szCs w:val="18"/>
          <w:color w:val="auto"/>
        </w:rPr>
        <w:t>(iv)            Prior to the close of business on the Business Day immediately preceding March 15, 2031, a Holder may surrender all or any portion of its Notes for conversion at any time during any calendar quarter commencing after the calendar quarter ending on September 30, 2026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972"/>
        <w:spacing w:after="0" w:line="265" w:lineRule="auto"/>
        <w:rPr>
          <w:sz w:val="20"/>
          <w:szCs w:val="20"/>
          <w:color w:val="auto"/>
        </w:rPr>
      </w:pPr>
      <w:r>
        <w:rPr>
          <w:rFonts w:ascii="Times New Roman" w:cs="Times New Roman" w:eastAsia="Times New Roman" w:hAnsi="Times New Roman"/>
          <w:sz w:val="17"/>
          <w:szCs w:val="17"/>
          <w:color w:val="auto"/>
        </w:rPr>
        <w:t>(v)            If the Company calls any or all of the Notes for redemption pursuant to ‎Article 16 prior to the close of business on the Business Day immediately preceding March 15, 2031, then a Holder may surrender all or any portion of its Notes for conversion at any time prior to the close of business on the second Scheduled Trading Day immediately preceding the Redemption Date, even if the Notes are not otherwise</w:t>
      </w:r>
    </w:p>
    <w:p>
      <w:pPr>
        <w:ind w:left="660" w:right="160"/>
        <w:spacing w:after="0" w:line="250" w:lineRule="auto"/>
        <w:rPr>
          <w:sz w:val="20"/>
          <w:szCs w:val="20"/>
          <w:color w:val="auto"/>
        </w:rPr>
      </w:pPr>
      <w:r>
        <w:rPr>
          <w:rFonts w:ascii="Times New Roman" w:cs="Times New Roman" w:eastAsia="Times New Roman" w:hAnsi="Times New Roman"/>
          <w:sz w:val="18"/>
          <w:szCs w:val="18"/>
          <w:color w:val="auto"/>
        </w:rPr>
        <w:t>convertible at such time. After that time, the right to convert pursuant to this Section 14‎.01(b)(v) shall expire, unless the Company defaults in the payment of the Redemption Price, in which case a Holder of Notes may convert its Notes until the Redemption Price has been paid or duly provided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(a)            Subject to this Section 14‎.02, Section 14‎.03(b) and Section 14‎.07(a), upon conversion of any Note, the Company shall pay or deliver, as the case may be, to the converting Holder, in respect of each $1,000 principal amount of Notes being converted, cash (“</w:t>
      </w:r>
      <w:r>
        <w:rPr>
          <w:rFonts w:ascii="Times New Roman" w:cs="Times New Roman" w:eastAsia="Times New Roman" w:hAnsi="Times New Roman"/>
          <w:sz w:val="17"/>
          <w:szCs w:val="17"/>
          <w:b w:val="1"/>
          <w:bCs w:val="1"/>
          <w:color w:val="auto"/>
        </w:rPr>
        <w:t>Cash Settlement</w:t>
      </w:r>
      <w:r>
        <w:rPr>
          <w:rFonts w:ascii="Times New Roman" w:cs="Times New Roman" w:eastAsia="Times New Roman" w:hAnsi="Times New Roman"/>
          <w:sz w:val="17"/>
          <w:szCs w:val="17"/>
          <w:color w:val="auto"/>
        </w:rPr>
        <w:t>”), shares of Common Stock, together with cash, if applicable, in lieu of delivering any fractional share of Common Stock in accordance with subsection ‎(j) of this ‎Section 14.02 (“</w:t>
      </w:r>
      <w:r>
        <w:rPr>
          <w:rFonts w:ascii="Times New Roman" w:cs="Times New Roman" w:eastAsia="Times New Roman" w:hAnsi="Times New Roman"/>
          <w:sz w:val="17"/>
          <w:szCs w:val="17"/>
          <w:b w:val="1"/>
          <w:bCs w:val="1"/>
          <w:color w:val="auto"/>
        </w:rPr>
        <w:t>Physical Settlement</w:t>
      </w:r>
      <w:r>
        <w:rPr>
          <w:rFonts w:ascii="Times New Roman" w:cs="Times New Roman" w:eastAsia="Times New Roman" w:hAnsi="Times New Roman"/>
          <w:sz w:val="17"/>
          <w:szCs w:val="17"/>
          <w:color w:val="auto"/>
        </w:rPr>
        <w:t>”) or a combination of cash and shares of Common Stock, together with cash, if applicable, in lieu of delivering any fractional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in accordance with subsection (j) of‎ this Section 14‎.02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at its election, as set forth in this Section 14‎.02.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300" w:firstLine="972"/>
        <w:spacing w:after="0" w:line="250" w:lineRule="auto"/>
        <w:rPr>
          <w:sz w:val="20"/>
          <w:szCs w:val="20"/>
          <w:color w:val="auto"/>
        </w:rPr>
      </w:pPr>
      <w:r>
        <w:rPr>
          <w:rFonts w:ascii="Times New Roman" w:cs="Times New Roman" w:eastAsia="Times New Roman" w:hAnsi="Times New Roman"/>
          <w:sz w:val="18"/>
          <w:szCs w:val="18"/>
          <w:color w:val="auto"/>
        </w:rPr>
        <w:t>(i)            All conversions for which the relevant Conversion Date occurs after the Company’s issuance of a Redemption Notice with respect to the Notes and prior to the related Redemption Date, and all conversions for which the relevant Conversion Date occurs on or after March 15, 2031 shall be settled using the same Settlement Method.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100" w:firstLine="972"/>
        <w:spacing w:after="0" w:line="265" w:lineRule="auto"/>
        <w:rPr>
          <w:sz w:val="20"/>
          <w:szCs w:val="20"/>
          <w:color w:val="auto"/>
        </w:rPr>
      </w:pPr>
      <w:r>
        <w:rPr>
          <w:rFonts w:ascii="Times New Roman" w:cs="Times New Roman" w:eastAsia="Times New Roman" w:hAnsi="Times New Roman"/>
          <w:sz w:val="17"/>
          <w:szCs w:val="17"/>
          <w:color w:val="auto"/>
        </w:rPr>
        <w:t>(ii)            Except for any conversions for which the relevant Conversion Date occurs after the Company’s issuance of a Redemption Notice with respect to the Notes but prior to the related Redemption Date, and any conversions for which the relevant Conversion Date occurs on or after March 15, 2031, the Company shall use the same Settlement Method for all conversions occurring on the same Conversion Date, but the Company shall not have any obligation to use the same Settlement Method with respect to conversions occurring on different Conversion 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972"/>
        <w:spacing w:after="0" w:line="250" w:lineRule="auto"/>
        <w:rPr>
          <w:sz w:val="20"/>
          <w:szCs w:val="20"/>
          <w:color w:val="auto"/>
        </w:rPr>
      </w:pPr>
      <w:r>
        <w:rPr>
          <w:rFonts w:ascii="Times New Roman" w:cs="Times New Roman" w:eastAsia="Times New Roman" w:hAnsi="Times New Roman"/>
          <w:sz w:val="18"/>
          <w:szCs w:val="18"/>
          <w:color w:val="auto"/>
        </w:rPr>
        <w:t>(iii)            If, in respect of any Conversion Date (or one of the periods described in the fourth immediately succeeding set of parentheses, as the case may be), the Company elects a Settlement Method, the Company shall deliver a notice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of the relevant Settlement Method in respect of such Conversion Date (or such period, as the case may be) in writing to converting Holders, the Trustee and the Conversion Agent (if other than the Trustee) no later than the close of business on the Trading Day immediately following the relevant Conversion Date (or, in the case of any conversions for which the relevant Conversion Date occurs (x) after the date of issuance of a Redemption Notice with respect to the Notes and prior to the close of business on the second Scheduled Trading Day immediately preceding the related Redemption Date, in such Redemption Notice, or (y) on or after March 15, 2031, no later than March 15, 2031). Delivery of such Settlement Notice is irrevocable. If the Company does not elect a Settlement Method prior to the deadline set forth in the immediately preceding sentence, the Company shall no longer have the right to elect Cash Settlement or Physical Settlement for such conversion and the Company shall be deemed to have elected Combination Settlement in respect of its Conversion Obligation, and the Specified Dollar Amount per $1,000 principal amount of Notes shall be equal to $1,000.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in respect of its Conversion Obligation but does not indicate a Specified Dollar Amount per $1,000 principal amount of Notes in such Settlement Notice, the Specified Dollar Amount per $1,000 principal amount of Notes shall</w:t>
      </w:r>
    </w:p>
    <w:p>
      <w:pPr>
        <w:spacing w:after="0" w:line="5" w:lineRule="exact"/>
        <w:rPr>
          <w:sz w:val="20"/>
          <w:szCs w:val="20"/>
          <w:color w:val="auto"/>
        </w:rPr>
      </w:pPr>
    </w:p>
    <w:p>
      <w:pPr>
        <w:ind w:left="660" w:right="100"/>
        <w:spacing w:after="0" w:line="250" w:lineRule="auto"/>
        <w:rPr>
          <w:sz w:val="20"/>
          <w:szCs w:val="20"/>
          <w:color w:val="auto"/>
        </w:rPr>
      </w:pPr>
      <w:r>
        <w:rPr>
          <w:rFonts w:ascii="Times New Roman" w:cs="Times New Roman" w:eastAsia="Times New Roman" w:hAnsi="Times New Roman"/>
          <w:sz w:val="18"/>
          <w:szCs w:val="18"/>
          <w:color w:val="auto"/>
        </w:rPr>
        <w:t>be deemed to be $1,000. If the Company calls any Notes for redemption pursuant to Article 16,‎ and the related Redemption Date is on or after March 15, 2031 (x) if the date of the relevant Redemption Notice occurs prior to the date the Company elects (or is deemed to have elected) a Settlement Method in respect of all conversions with a Conversion Date occurring on or after March 15, 2031, then, in respect of all conversions with a Conversion Date occurring on or after March 15, 2031, the Company must elect the Settlement Method that the Company elected (or was deemed to have elected) in such Redemption Notice and (y) if the date of such Redemption Notice occurs on or after the date the Company elects (or is deemed to have elected) a Settlement Method in respect of all conversions with a Conversion Date occurring on or after March 15, 2031, then, the Company must elect in such Redemption Notice the Settlement Method that the Company elected (or was deemed to have elected) in respect of all conversions with a Conversion Date occurring on or after March 15, 2031.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(iv)            The cash, shares of Common Stock or combination of cash and shares of Common Stock in respect of any conversion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be computed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80" w:firstLine="972"/>
        <w:spacing w:after="0" w:line="250" w:lineRule="auto"/>
        <w:rPr>
          <w:sz w:val="20"/>
          <w:szCs w:val="20"/>
          <w:color w:val="auto"/>
        </w:rPr>
      </w:pPr>
      <w:r>
        <w:rPr>
          <w:rFonts w:ascii="Times New Roman" w:cs="Times New Roman" w:eastAsia="Times New Roman" w:hAnsi="Times New Roman"/>
          <w:sz w:val="18"/>
          <w:szCs w:val="18"/>
          <w:color w:val="auto"/>
        </w:rPr>
        <w:t>(A)            if the Company elects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 (plus cash in lieu of any fractional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60" w:firstLine="972"/>
        <w:spacing w:after="0" w:line="265" w:lineRule="auto"/>
        <w:rPr>
          <w:sz w:val="20"/>
          <w:szCs w:val="20"/>
          <w:color w:val="auto"/>
        </w:rPr>
      </w:pPr>
      <w:r>
        <w:rPr>
          <w:rFonts w:ascii="Times New Roman" w:cs="Times New Roman" w:eastAsia="Times New Roman" w:hAnsi="Times New Roman"/>
          <w:sz w:val="17"/>
          <w:szCs w:val="17"/>
          <w:color w:val="auto"/>
        </w:rPr>
        <w:t>(B)            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25 consecutive Trading Days during the related Observation Period; and</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972"/>
        <w:spacing w:after="0" w:line="250" w:lineRule="auto"/>
        <w:rPr>
          <w:sz w:val="20"/>
          <w:szCs w:val="20"/>
          <w:color w:val="auto"/>
        </w:rPr>
      </w:pPr>
      <w:r>
        <w:rPr>
          <w:rFonts w:ascii="Times New Roman" w:cs="Times New Roman" w:eastAsia="Times New Roman" w:hAnsi="Times New Roman"/>
          <w:sz w:val="18"/>
          <w:szCs w:val="18"/>
          <w:color w:val="auto"/>
        </w:rPr>
        <w:t>(C)            if the Company elects (or is deemed to have elected) to satisfy its Conversion Obligation in respect of such conversion by Combination Settlement, the Company shall pay or deliver, as the case may be, in respect of each $1,000 principal amount of Notes being converted, a Settlement Amount equal to the sum of the Daily Settlement Amounts for each of the 25 consecutive Trading Days during the related Observation Period (plus cash in lieu of any fractional share).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972"/>
        <w:spacing w:after="0" w:line="250" w:lineRule="auto"/>
        <w:rPr>
          <w:sz w:val="20"/>
          <w:szCs w:val="20"/>
          <w:color w:val="auto"/>
        </w:rPr>
      </w:pPr>
      <w:r>
        <w:rPr>
          <w:rFonts w:ascii="Times New Roman" w:cs="Times New Roman" w:eastAsia="Times New Roman" w:hAnsi="Times New Roman"/>
          <w:sz w:val="18"/>
          <w:szCs w:val="18"/>
          <w:color w:val="auto"/>
        </w:rPr>
        <w:t>(v)            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and in any event within one (1) Business Day following the last day of the Observation Period, the Company shall notify the Trustee and the Conversion Agent (if other than the Trustee) in writing of its determination of the Daily Settlement Amounts or the Daily Conversion Values, as the case may be, and the amount of cash payable in lieu of delivering fractional shares of Common Stock and the calculation thereof in reasonable detail or in such detail as requested by the Depositary. The Trustee and the Conversion Agent (if other than the Trustee) shall have no responsibility for any such determination.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80" w:firstLine="972"/>
        <w:spacing w:after="0" w:line="250" w:lineRule="auto"/>
        <w:rPr>
          <w:sz w:val="20"/>
          <w:szCs w:val="20"/>
          <w:color w:val="auto"/>
        </w:rPr>
      </w:pPr>
      <w:r>
        <w:rPr>
          <w:rFonts w:ascii="Times New Roman" w:cs="Times New Roman" w:eastAsia="Times New Roman" w:hAnsi="Times New Roman"/>
          <w:sz w:val="18"/>
          <w:szCs w:val="18"/>
          <w:color w:val="auto"/>
        </w:rPr>
        <w:t>(vi)            At any time prior to March 15, 2031, the Company may irrevocably elect to satisfy its Conversion Obligation with respect to the Notes to be converted after the date of such election by delivering cash up to the aggregate principal amount of Notes to be converted, and shares of the Common Stock, cash or a combination thereof in respect of the remainder, if any, of its Conversion Obligation. Upon making such election, the Company shall promptly (x) provide written notice to the Holders, the Trustee and the Conversion Agent (if other than the Trustee) and (y) issue a current report on Form 8-K or press release or publish on its website to announce that the Company has made such an election.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(b)            Subject to Section 14‎.02(e), before any Holder of a Note shall be entitled to convert a Note as set forth above, such Holder shall (i) in the case of a Global Note, comply with the procedures of the Depositary in effect at that time (any instruction to convert transmitted to the Depositary shall be irrevocable) and, if required, pay funds equal to any Special Interest payable on the next Special Interest Payment Date to which such Holder is not entitled as set forth in ‎Section 14.02(h) and/or all transfer or similar taxes, if any, that are such Holder’s responsibility as set forth in ‎Section 14.02(e) and (ii) in the case of a Physical Note or Global Notes not approved for processing through the Depositary: (1) complete, manually sign and deliver an irrevocable notice to the Conversion Agent as set forth in the Form of Notice of Conversion (or a facsimile, PDF or other electronic transmission thereof) (a “</w:t>
      </w:r>
      <w:r>
        <w:rPr>
          <w:rFonts w:ascii="Times New Roman" w:cs="Times New Roman" w:eastAsia="Times New Roman" w:hAnsi="Times New Roman"/>
          <w:sz w:val="17"/>
          <w:szCs w:val="17"/>
          <w:b w:val="1"/>
          <w:bCs w:val="1"/>
          <w:color w:val="auto"/>
        </w:rPr>
        <w:t>Notice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at the office of the Conversion Agent and state in writing therein the principal amount of Notes to be converted and the name or names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(4) if required, pay funds equal</w:t>
      </w:r>
    </w:p>
    <w:p>
      <w:pPr>
        <w:spacing w:after="0" w:line="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to any Special Interest payable on the next Special Interest Payment Date to which such Holder is not entitled as set forth in Section 14‎.02(h) and (5) if required by ‎Section 14.02(e), pay any transfer or similar taxes that are such Holder’s responsibility. The Trustee (and if different, the Conversion Agent)</w:t>
      </w:r>
    </w:p>
    <w:p>
      <w:pPr>
        <w:spacing w:after="0"/>
        <w:rPr>
          <w:sz w:val="20"/>
          <w:szCs w:val="20"/>
          <w:color w:val="auto"/>
        </w:rPr>
      </w:pPr>
      <w:r>
        <w:rPr>
          <w:rFonts w:ascii="Times New Roman" w:cs="Times New Roman" w:eastAsia="Times New Roman" w:hAnsi="Times New Roman"/>
          <w:sz w:val="18"/>
          <w:szCs w:val="18"/>
          <w:color w:val="auto"/>
        </w:rPr>
        <w:t>shall notify the Company of any conversion pursuant to this Article 14‎ no more than one (1) Business Day after the Conversion Date for such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Notice of Conversion with respect to any Notes may be surrendered by a Holder thereof if such Holder has also delivered a Fundamental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Notice to the Company in respect of such Notes and has not validly withdrawn such Fundamental Change Repurchase Notice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‎Section 15.03.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Conversion Date occurring on or after the Special Interest Record Date immediately preceding the Maturity Date, the Company shall pay or deliver, as the case may be, such consideration due upon Physical Settlement in respect of the Conversion Obligation on the Maturity Date), or on the second Business Day immediately following the last Trading Day of the Observation Period, in the case of any other Settlement Method. If any shares of Common Stock are due to a converting Holder, the Company shall issue or cause to be issued, and deliver (if applicable) to the converting Holder, or such Holder’s nominee or nominees, the full number of shares of Common Stock to which such Holder shall be entitled, in book-entry format through the Depositary, in satisfaction of the Company’s Conversion Obligation.  </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            In case any Physical Note shall be surrendered for partial conversion, the Company shall execute and the Trustee shall authenticate and deliver to or upon the written order of the Holder of the Physical Note so surrendered a new Physical Note or Physical Notes in authorized denominations in an aggregate principal amount equal to the unconverted portion of the surrendered Physical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Physical Notes issued upon such conversion being different from the name of the Holder of the old Physical Notes surrendered for such conversion.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If a Holder submits a Note for conversion, the Company shall pay any documentary, stamp or similar issue or transfer tax due on the issue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shares of Common Stock upon conversion, unless the tax is due because the Holder requests such shares to be issued in a name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name, in which case the Holder shall pay that tax. The Company may refuse to deliver the certificates representing the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issued in a name other than the Holder’s name until the Company receives a sum sufficient to pay any tax that is due by such Holder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immediately preceding sentence.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Except as provided in Section 14‎.04, no adjustment shall be made for dividends on any shares of Common Stock issued upon the conversion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Note as provided in this Article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Upon the conversion of an interest in a Global Note, the Trustee, or the Custodian at the direction of the Trustee, shall make a notation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Global Note as to the reduction in the principal amount represented thereby. The Company shall notify the Trustee in writing of any conversion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effected through any Conversion Agent other than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Upon conversion, a Holder shall not receive any separate cash payment for accrued and unpaid Special Interest, if any, except as set forth below and the Company shall not be required to adjust the Conversion Rate for any accrued and unpaid Special Interest. The Company’s settlement of the full Conversion Obligation shall be deemed to satisfy in full its obligation to pay the principal amount of the Note and accrued and unpaid Special Interest, if any, to, but not including, the relevant Conversion Date. As a result, accrued and unpaid Special Interest, if any, to, but not including, the relevant Conversion Date shall be deemed to be paid in full rather than cancelled, extinguished or forfeited. Upon a conversion of Notes into a combination of cash and shares of Common Stock, any accrued and unpaid Special Interest will be deemed to be paid first out of the cash paid upon such conversion. Notwithstanding the foregoing, if Notes are converted after the close of business on a Special Interest Record Date and prior to the open of business on the corresponding Special Interest Payment Date, Holders of such Notes as of the close of business on such Special Interest Record Date will receive the full amount of Special Interest, if any, payable on such Notes on the corresponding Special Interest Payment Date notwithstanding the conversion. However, Notes surrendered for conversion during the period from the close of business on any Special Interest Record Date to the open of business on the immediately following Special Interest Payment Date must be accompanied by funds equal to the amount of any Special Interest payable on the Notes so converted on the corresponding Special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of Notes following the close of business on the Special Interest Record Date immediately preceding the Maturity Date, if Special Interest is payable on the Maturity Date; (2) if the Company has specified a Redemption Date that is after a Special Interest Record Date and on or prior to the second Scheduled Trading Day immediately following the corresponding Special Interest Payment Date; (3) if the Company has specified a Fundamental Change Repurchase Date that is after a Special Interest Record Date and on or prior to the Business Day immediately following the corresponding Special Interest Payment Date; or (4) to the extent of any Defaulted Amounts or Special Interest, if any Defaulted Amounts or Special Interest exists at the time of conversion with respect to such Note. For the avoidance of doubt, all Holders of record as of the close of business on the Special Interest Record Date immediately preceding the Maturity Date (if and to the extent Special Interest is payable on the Maturity Date) shall receive the full payment of Special Interest due on the Maturity Date in cash regardless of whether their Notes have been converted following such Special Interest Record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            The Person in whose name the shares of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The Company shall not issue any fractional share of Common Stock upon conversion of the Notes and shall instead pay cash in lieu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delivering any fractional share of Common Stock issuable upon conversion based on the Daily VWAP for the relevant Conversion Date or,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Date is not a Trading Day, the immediately preceding Trading Day (in the case of Physical Settlement) or based on the Daily VWAP for the last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Day of the relevant Observation Period (in the case of Combination Settlement). For each Note surrendered for conversion, if the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elected (or is deemed to have elected) Combination Settlement, the full number of shares that shall be issued upon conversion thereof shall be computed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basis of the aggregate Daily Settlement Amounts for the relevant Observation Period and any fractional shares of Common Stock remaining after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shall be paid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Notice. </w:t>
      </w:r>
      <w:r>
        <w:rPr>
          <w:rFonts w:ascii="Times New Roman" w:cs="Times New Roman" w:eastAsia="Times New Roman" w:hAnsi="Times New Roman"/>
          <w:sz w:val="18"/>
          <w:szCs w:val="18"/>
          <w:color w:val="auto"/>
        </w:rPr>
        <w:t>(a)  If (x) the Effective Date of a Make-Whole Fundamental Change occurs prior to the Maturity Date or (y) the Company gives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Notice with respect to any or all of the Notes in accordance with Section 16‎.02 and, in each case, a Holder elects to convert its Notes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such Make-Whole Fundamental Change or such Redemption Notice, as applicable, the Company shall, under the circumstances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increase the Conversion Rate for the Notes so surrendered for conversion by a number of additional shares of Common Stock (the “</w:t>
      </w:r>
      <w:r>
        <w:rPr>
          <w:rFonts w:ascii="Times New Roman" w:cs="Times New Roman" w:eastAsia="Times New Roman" w:hAnsi="Times New Roman"/>
          <w:sz w:val="18"/>
          <w:szCs w:val="18"/>
          <w:b w:val="1"/>
          <w:bCs w:val="1"/>
          <w:color w:val="auto"/>
        </w:rPr>
        <w:t>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as described below. A conversion of Notes shall be deemed for these purposes to be “in connection with” such Make-Whole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if the relevant Notice of Conversion is received by the Conversion Agent from, and including, the Effective Date of the Make-Whole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up to, and including, the Business Day immediately prior to the related Fundamental Change Repurchase Date (or, in the case of a Make-Whole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Fundamental Change that would have been a Fundamental Change but for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 the 35th Trading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Notes shall be deemed for these purposes to be “in connection with” a Redemption Notice if the relevant Notice of Conversion is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Agent from, and including, the date of the Redemption Notice until the close of business on the second Scheduled Trading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60" w:firstLine="648"/>
        <w:spacing w:after="0" w:line="265" w:lineRule="auto"/>
        <w:rPr>
          <w:sz w:val="20"/>
          <w:szCs w:val="20"/>
          <w:color w:val="auto"/>
        </w:rPr>
      </w:pPr>
      <w:r>
        <w:rPr>
          <w:rFonts w:ascii="Times New Roman" w:cs="Times New Roman" w:eastAsia="Times New Roman" w:hAnsi="Times New Roman"/>
          <w:sz w:val="17"/>
          <w:szCs w:val="17"/>
          <w:color w:val="auto"/>
        </w:rPr>
        <w:t>(b)            Upon surrender of Notes for conversion in connection with a Make-Whole Fundamental Change pursuant to Section 14‎.01(b)(iii) or a Redemption Notice pursuant to ‎Section 14.01(b)(v), the Company shall, at its option, satisfy the related Conversion Obligation by Physical Settlement,</w:t>
      </w:r>
    </w:p>
    <w:p>
      <w:pPr>
        <w:spacing w:after="0"/>
        <w:rPr>
          <w:sz w:val="20"/>
          <w:szCs w:val="20"/>
          <w:color w:val="auto"/>
        </w:rPr>
      </w:pPr>
      <w:r>
        <w:rPr>
          <w:rFonts w:ascii="Times New Roman" w:cs="Times New Roman" w:eastAsia="Times New Roman" w:hAnsi="Times New Roman"/>
          <w:sz w:val="18"/>
          <w:szCs w:val="18"/>
          <w:color w:val="auto"/>
        </w:rPr>
        <w:t xml:space="preserve">Cash Settlement or Combination Settlement in accordance with Section 14‎.02;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the effective time of a Make-Whole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 described in clause (b) of the definition of Fundamental Change, the Reference Property following such Make-Whole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is composed entirely of cash, for any conversion of Notes following the Effective Date of such Make-Whole Fundamental Change, the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shall be calculated based solely on the Stock Price for the transaction and shall be deemed to be an amount of cash per $1,000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converted Notes equal to the Conversion Rate (including any adjustment for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Stock Price. In such event,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Obligation shall be paid to Holders in cash on the second Business Day following the Conversion Date. The Company shall notify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Notes, the Trustee and the Conversion Agent (if other than the Trustee) in writing of the Effective Date of any Make-Whole Fundamental Change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than five Business Days after such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(c)            The number of Additional Shares, if any, by which the Conversion Rate shall be increased shall be determined by reference to the table below, based on the date on which the Make-Whole Fundamental Change occurs or becomes effective or the date of the Redemption Notice, as the case may be, (in each case,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and the price (the “</w:t>
      </w:r>
      <w:r>
        <w:rPr>
          <w:rFonts w:ascii="Times New Roman" w:cs="Times New Roman" w:eastAsia="Times New Roman" w:hAnsi="Times New Roman"/>
          <w:sz w:val="17"/>
          <w:szCs w:val="17"/>
          <w:b w:val="1"/>
          <w:bCs w:val="1"/>
          <w:color w:val="auto"/>
        </w:rPr>
        <w:t>Stock Price</w:t>
      </w:r>
      <w:r>
        <w:rPr>
          <w:rFonts w:ascii="Times New Roman" w:cs="Times New Roman" w:eastAsia="Times New Roman" w:hAnsi="Times New Roman"/>
          <w:sz w:val="17"/>
          <w:szCs w:val="17"/>
          <w:color w:val="auto"/>
        </w:rPr>
        <w:t>”) paid (or deemed to be paid) per share of the Common Stock in the Make-Whole Fundamental Change or with respect to the Optional Redemption, as the case may be.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consecutive Trading Day period ending on, and including, the Trading Day immediately preceding the Effective Date of the Make-Whole Fundamental Change or the date of the Redemption Notice, as the case may be. The Company shall make appropriate adjustments to the Stock Price, in its good faith determination, to account for any adjustment to the Conversion Rate that becomes effective, or any event requiring an adjustment to the Conversion Rate where the Ex-Dividend Date, Effective Date (as such term is used in ‎Section 14.04) or expiration date of the event occurs during such five consecutive Trading Day period. If a conversion in connection with a Redemption Notice would also be deemed to be in connection with a Make-Whole Fundamental Change, a Holder of the Notes to be converted shall be entitled to a single increase to the Conversion Rate with respect to the first to occur of the date of the applicable Redemption Notice or the Effective Date of the applicable Make-Whole Fundamental Change, and the later event shall be deemed not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occurred for purposes of this Section 14‎.03.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following table sets forth the number of Additional Shares of Common Stock by which the Conversion Rate shall be increased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principal amount of Notes pursuant to this Section 14‎.03 for each Stock Price and Effective Date set forth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w w:val="98"/>
              </w:rPr>
              <w:t>Stock Price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5"/>
              </w:rPr>
              <w:t> </w:t>
            </w:r>
          </w:p>
        </w:tc>
      </w:tr>
      <w:tr>
        <w:trPr>
          <w:trHeight w:val="223"/>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$76.77     </w:t>
            </w:r>
          </w:p>
        </w:tc>
        <w:tc>
          <w:tcPr>
            <w:tcW w:w="1060" w:type="dxa"/>
            <w:vAlign w:val="bottom"/>
            <w:tcBorders>
              <w:top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$95.00     </w:t>
            </w:r>
          </w:p>
        </w:tc>
        <w:tc>
          <w:tcPr>
            <w:tcW w:w="1060" w:type="dxa"/>
            <w:vAlign w:val="bottom"/>
            <w:tcBorders>
              <w:top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$107.48     </w:t>
            </w:r>
          </w:p>
        </w:tc>
        <w:tc>
          <w:tcPr>
            <w:tcW w:w="1080" w:type="dxa"/>
            <w:vAlign w:val="bottom"/>
            <w:tcBorders>
              <w:top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$125.00     </w:t>
            </w:r>
          </w:p>
        </w:tc>
        <w:tc>
          <w:tcPr>
            <w:tcW w:w="1080" w:type="dxa"/>
            <w:vAlign w:val="bottom"/>
            <w:tcBorders>
              <w:top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$139.72     </w:t>
            </w:r>
          </w:p>
        </w:tc>
        <w:tc>
          <w:tcPr>
            <w:tcW w:w="1080" w:type="dxa"/>
            <w:vAlign w:val="bottom"/>
            <w:tcBorders>
              <w:top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$150.00     </w:t>
            </w:r>
          </w:p>
        </w:tc>
        <w:tc>
          <w:tcPr>
            <w:tcW w:w="2880" w:type="dxa"/>
            <w:vAlign w:val="bottom"/>
            <w:tcBorders>
              <w:top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$200.00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400.00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600.00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800.00</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5"/>
              </w:rPr>
              <w:t> </w:t>
            </w:r>
          </w:p>
        </w:tc>
      </w:tr>
      <w:tr>
        <w:trPr>
          <w:trHeight w:val="209"/>
        </w:trPr>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18, 2026</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0"/>
              </w:rPr>
              <w:t>3.7217 </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6"/>
              </w:rPr>
              <w:t>2.5792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7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0"/>
              </w:rPr>
              <w:t>2.0597 </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 </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 </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8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0"/>
              </w:rPr>
              <w:t>1.0647 </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8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0"/>
              </w:rPr>
              <w:t>0.5586 </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5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rPr>
              <w:t>0.0689   </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9"/>
              </w:rPr>
              <w:t>0.0050   </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 </w:t>
            </w:r>
          </w:p>
        </w:tc>
        <w:tc>
          <w:tcPr>
            <w:tcW w:w="40" w:type="dxa"/>
            <w:vAlign w:val="bottom"/>
            <w:tcBorders>
              <w:left w:val="single" w:sz="8" w:color="CCEEFF"/>
            </w:tcBorders>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June 15, 2027</w:t>
            </w:r>
          </w:p>
        </w:tc>
        <w:tc>
          <w:tcPr>
            <w:tcW w:w="5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3.7217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2.5792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2.0452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1.4975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1.1755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1.0013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0.4947     </w:t>
            </w: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5"/>
              </w:rPr>
              <w:t>0.0471    0.0002    0.0000 </w:t>
            </w:r>
          </w:p>
        </w:tc>
        <w:tc>
          <w:tcPr>
            <w:tcW w:w="40" w:type="dxa"/>
            <w:vAlign w:val="bottom"/>
          </w:tcPr>
          <w:p>
            <w:pPr>
              <w:spacing w:after="0"/>
              <w:rPr>
                <w:sz w:val="18"/>
                <w:szCs w:val="18"/>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15, 2028</w:t>
            </w:r>
          </w:p>
        </w:tc>
        <w:tc>
          <w:tcPr>
            <w:tcW w:w="5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2.5705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1.9710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0.8897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0.4005     </w:t>
            </w:r>
          </w:p>
        </w:tc>
        <w:tc>
          <w:tcPr>
            <w:tcW w:w="18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0.0241    0.0000    0.0000 </w:t>
            </w:r>
          </w:p>
        </w:tc>
        <w:tc>
          <w:tcPr>
            <w:tcW w:w="40" w:type="dxa"/>
            <w:vAlign w:val="bottom"/>
            <w:tcBorders>
              <w:left w:val="single" w:sz="8" w:color="CCEEFF"/>
            </w:tcBorders>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June 15, 2029</w:t>
            </w:r>
          </w:p>
        </w:tc>
        <w:tc>
          <w:tcPr>
            <w:tcW w:w="5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3.7217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2.4283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1.7882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1.1946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0.8678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0.7004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0.2667     </w:t>
            </w: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5"/>
              </w:rPr>
              <w:t>0.0056    0.0000    0.0000 </w:t>
            </w:r>
          </w:p>
        </w:tc>
        <w:tc>
          <w:tcPr>
            <w:tcW w:w="40" w:type="dxa"/>
            <w:vAlign w:val="bottom"/>
          </w:tcPr>
          <w:p>
            <w:pPr>
              <w:spacing w:after="0"/>
              <w:rPr>
                <w:sz w:val="18"/>
                <w:szCs w:val="18"/>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15, 2030</w:t>
            </w:r>
          </w:p>
        </w:tc>
        <w:tc>
          <w:tcPr>
            <w:tcW w:w="5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0.8215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0.5307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0.3945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0.1007     </w:t>
            </w:r>
          </w:p>
        </w:tc>
        <w:tc>
          <w:tcPr>
            <w:tcW w:w="18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0.0000    0.0000    0.0000 </w:t>
            </w:r>
          </w:p>
        </w:tc>
        <w:tc>
          <w:tcPr>
            <w:tcW w:w="40" w:type="dxa"/>
            <w:vAlign w:val="bottom"/>
            <w:tcBorders>
              <w:left w:val="single" w:sz="8" w:color="CCEEFF"/>
            </w:tcBorders>
          </w:tcPr>
          <w:p>
            <w:pPr>
              <w:spacing w:after="0"/>
              <w:rPr>
                <w:sz w:val="18"/>
                <w:szCs w:val="18"/>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June 15, 2031</w:t>
            </w:r>
          </w:p>
        </w:tc>
        <w:tc>
          <w:tcPr>
            <w:tcW w:w="520" w:type="dxa"/>
            <w:vAlign w:val="bottom"/>
            <w:gridSpan w:val="3"/>
          </w:tcPr>
          <w:p>
            <w:pPr>
              <w:ind w:left="3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3.7217     </w:t>
            </w:r>
          </w:p>
        </w:tc>
        <w:tc>
          <w:tcPr>
            <w:tcW w:w="106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1.2221     </w:t>
            </w:r>
          </w:p>
        </w:tc>
        <w:tc>
          <w:tcPr>
            <w:tcW w:w="106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0.0000     </w:t>
            </w:r>
          </w:p>
        </w:tc>
        <w:tc>
          <w:tcPr>
            <w:tcW w:w="10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0.0000     </w:t>
            </w:r>
          </w:p>
        </w:tc>
        <w:tc>
          <w:tcPr>
            <w:tcW w:w="10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0.0000     </w:t>
            </w:r>
          </w:p>
        </w:tc>
        <w:tc>
          <w:tcPr>
            <w:tcW w:w="10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0.0000     </w:t>
            </w:r>
          </w:p>
        </w:tc>
        <w:tc>
          <w:tcPr>
            <w:tcW w:w="106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0.0000     </w:t>
            </w:r>
          </w:p>
        </w:tc>
        <w:tc>
          <w:tcPr>
            <w:tcW w:w="1820" w:type="dxa"/>
            <w:vAlign w:val="bottom"/>
            <w:gridSpan w:val="5"/>
          </w:tcPr>
          <w:p>
            <w:pPr>
              <w:ind w:left="40"/>
              <w:spacing w:after="0" w:line="198" w:lineRule="exact"/>
              <w:rPr>
                <w:sz w:val="20"/>
                <w:szCs w:val="20"/>
                <w:color w:val="auto"/>
              </w:rPr>
            </w:pPr>
            <w:r>
              <w:rPr>
                <w:rFonts w:ascii="Times New Roman" w:cs="Times New Roman" w:eastAsia="Times New Roman" w:hAnsi="Times New Roman"/>
                <w:sz w:val="18"/>
                <w:szCs w:val="18"/>
                <w:color w:val="auto"/>
                <w:w w:val="95"/>
              </w:rPr>
              <w:t>0.0000    0.0000    0.0000 </w:t>
            </w:r>
          </w:p>
        </w:tc>
        <w:tc>
          <w:tcPr>
            <w:tcW w:w="40" w:type="dxa"/>
            <w:vAlign w:val="bottom"/>
          </w:tcPr>
          <w:p>
            <w:pPr>
              <w:spacing w:after="0"/>
              <w:rPr>
                <w:sz w:val="17"/>
                <w:szCs w:val="17"/>
                <w:color w:val="auto"/>
              </w:rPr>
            </w:pP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60"/>
          </w:cols>
          <w:pgMar w:left="320" w:top="220"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exact Stock Price and Effective Date may not be set forth in the table above, in which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180" w:firstLine="972"/>
        <w:spacing w:after="0" w:line="250" w:lineRule="auto"/>
        <w:rPr>
          <w:sz w:val="20"/>
          <w:szCs w:val="20"/>
          <w:color w:val="auto"/>
        </w:rPr>
      </w:pPr>
      <w:r>
        <w:rPr>
          <w:rFonts w:ascii="Times New Roman" w:cs="Times New Roman" w:eastAsia="Times New Roman" w:hAnsi="Times New Roman"/>
          <w:sz w:val="18"/>
          <w:szCs w:val="18"/>
          <w:color w:val="auto"/>
        </w:rPr>
        <w:t>(i)            if the Stock Price is between two Stock Prices in the table above or the Effective Date is between two Effective Dates in the table, the number of Additional Shares shall be determined by a straight-line interpolation between the number of Additional Shares set forth for the higher and lower Stock Prices and the earlier and later Effective Dates, as applicable, based on a 365-day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0" w:firstLine="972"/>
        <w:spacing w:after="0" w:line="250" w:lineRule="auto"/>
        <w:rPr>
          <w:sz w:val="20"/>
          <w:szCs w:val="20"/>
          <w:color w:val="auto"/>
        </w:rPr>
      </w:pPr>
      <w:r>
        <w:rPr>
          <w:rFonts w:ascii="Times New Roman" w:cs="Times New Roman" w:eastAsia="Times New Roman" w:hAnsi="Times New Roman"/>
          <w:sz w:val="18"/>
          <w:szCs w:val="18"/>
          <w:color w:val="auto"/>
        </w:rPr>
        <w:t>(ii)            if the Stock Price is greater than $800.00 per share (subject to adjustment in the same manner as the Stock Prices set forth in the column headings of the table above pursuant to subsection (d) above), no Additional Shares shall be added to the Conversion Rate for the Notes;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0" w:firstLine="972"/>
        <w:spacing w:after="0" w:line="265" w:lineRule="auto"/>
        <w:rPr>
          <w:sz w:val="20"/>
          <w:szCs w:val="20"/>
          <w:color w:val="auto"/>
        </w:rPr>
      </w:pPr>
      <w:r>
        <w:rPr>
          <w:rFonts w:ascii="Times New Roman" w:cs="Times New Roman" w:eastAsia="Times New Roman" w:hAnsi="Times New Roman"/>
          <w:sz w:val="17"/>
          <w:szCs w:val="17"/>
          <w:color w:val="auto"/>
        </w:rPr>
        <w:t>(iii)            if the Stock Price is less than $76.77 per share (subject to adjustment in the same manner as the Stock Prices set forth in the column headings of the table above pursuant to subsection (d) above), no Additional Shares shall be added to the Conversion Rate for the Notes.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13.0259 shares of Common Stock, subject to adjustment in the same manner as the Conversion Rate pursuant to ‎Section 14.04.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Nothing in this ‎Section 14.03 shall prevent an adjustment to the Conversion Rate pursuant to ‎Section 14.04 in respect of a Make-Whole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17"/>
          <w:szCs w:val="17"/>
          <w:color w:val="auto"/>
        </w:rPr>
        <w:t>Section 14.04</w:t>
      </w:r>
      <w:r>
        <w:rPr>
          <w:rFonts w:ascii="Times New Roman" w:cs="Times New Roman" w:eastAsia="Times New Roman" w:hAnsi="Times New Roman"/>
          <w:sz w:val="17"/>
          <w:szCs w:val="17"/>
          <w:i w:val="1"/>
          <w:iCs w:val="1"/>
          <w:color w:val="auto"/>
        </w:rPr>
        <w:t>. Adjustment of Conversion Rate.</w:t>
      </w:r>
      <w:r>
        <w:rPr>
          <w:rFonts w:ascii="Times New Roman" w:cs="Times New Roman" w:eastAsia="Times New Roman" w:hAnsi="Times New Roman"/>
          <w:sz w:val="17"/>
          <w:szCs w:val="17"/>
          <w:color w:val="auto"/>
        </w:rPr>
        <w:t xml:space="preserve"> The Conversion Rate shall be adjusted from time to time by the Company if any of the following events occurs, except that the Company shall not make any adjustments to the Conversion Rate if each Holder of the Notes participates (other than in the case of (x) a share split or share combination or (y) a tender or exchange offer), at the same time and upon the same terms as holders of the Common Stock</w:t>
      </w:r>
    </w:p>
    <w:p>
      <w:pPr>
        <w:spacing w:after="0"/>
        <w:rPr>
          <w:sz w:val="20"/>
          <w:szCs w:val="20"/>
          <w:color w:val="auto"/>
        </w:rPr>
      </w:pPr>
      <w:r>
        <w:rPr>
          <w:rFonts w:ascii="Times New Roman" w:cs="Times New Roman" w:eastAsia="Times New Roman" w:hAnsi="Times New Roman"/>
          <w:sz w:val="18"/>
          <w:szCs w:val="18"/>
          <w:color w:val="auto"/>
        </w:rPr>
        <w:t>and solely as a result of holding the Notes, in any of the transactions described in this ‎Section 14.04, without having to convert its Notes, as if it held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the Company exclusively issues shares of Common Stock as a dividend or distribution on shares of the Common Stock, or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effects a share split or share combination, the Conversion Rate shall be adjusted based on the following formula: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sz w:val="1"/>
          <w:szCs w:val="1"/>
          <w:color w:val="auto"/>
        </w:rPr>
        <w:drawing>
          <wp:inline distT="0" distB="0" distL="0" distR="0">
            <wp:extent cx="1371600" cy="5232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0" cy="523240"/>
                    </a:xfrm>
                    <a:prstGeom prst="rect">
                      <a:avLst/>
                    </a:prstGeom>
                    <a:noFill/>
                    <a:ln>
                      <a:noFill/>
                    </a:ln>
                  </pic:spPr>
                </pic:pic>
              </a:graphicData>
            </a:graphic>
          </wp:inline>
        </w:drawing>
      </w:r>
      <w:r>
        <w:rPr>
          <w:rFonts w:ascii="Times New Roman" w:cs="Times New Roman" w:eastAsia="Times New Roman" w:hAnsi="Times New Roman"/>
          <w:sz w:val="18"/>
          <w:szCs w:val="18"/>
          <w:color w:val="auto"/>
        </w:rPr>
        <w:t>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80" w:hanging="1133"/>
        <w:spacing w:after="0" w:line="250" w:lineRule="auto"/>
        <w:tabs>
          <w:tab w:leader="none" w:pos="660" w:val="left"/>
        </w:tabs>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sz w:val="20"/>
          <w:szCs w:val="20"/>
          <w:color w:val="auto"/>
        </w:rPr>
        <w:tab/>
      </w:r>
      <w:r>
        <w:rPr>
          <w:rFonts w:ascii="Times New Roman" w:cs="Times New Roman" w:eastAsia="Times New Roman" w:hAnsi="Times New Roman"/>
          <w:sz w:val="18"/>
          <w:szCs w:val="18"/>
          <w:color w:val="auto"/>
        </w:rPr>
        <w:t>= 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 as applicable;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5"/>
                <w:szCs w:val="25"/>
                <w:color w:val="auto"/>
                <w:vertAlign w:val="subscript"/>
              </w:rPr>
              <w:t>0</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open of business on such Ex-Dividend Date or Effective Date</w:t>
            </w:r>
          </w:p>
        </w:tc>
        <w:tc>
          <w:tcPr>
            <w:tcW w:w="0" w:type="dxa"/>
            <w:vAlign w:val="bottom"/>
          </w:tcPr>
          <w:p>
            <w:pPr>
              <w:spacing w:after="0"/>
              <w:rPr>
                <w:sz w:val="1"/>
                <w:szCs w:val="1"/>
                <w:color w:val="auto"/>
              </w:rPr>
            </w:pPr>
          </w:p>
        </w:tc>
      </w:tr>
      <w:tr>
        <w:trPr>
          <w:trHeight w:val="234"/>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giving effect to any such dividend, distribution, share split or share combination), as applicable; and</w:t>
            </w:r>
          </w:p>
        </w:tc>
        <w:tc>
          <w:tcPr>
            <w:tcW w:w="0" w:type="dxa"/>
            <w:vAlign w:val="bottom"/>
          </w:tcPr>
          <w:p>
            <w:pPr>
              <w:spacing w:after="0"/>
              <w:rPr>
                <w:sz w:val="1"/>
                <w:szCs w:val="1"/>
                <w:color w:val="auto"/>
              </w:rPr>
            </w:pPr>
          </w:p>
        </w:tc>
      </w:tr>
      <w:tr>
        <w:trPr>
          <w:trHeight w:val="193"/>
        </w:trPr>
        <w:tc>
          <w:tcPr>
            <w:tcW w:w="5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 as applicable.</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w:t>
      </w:r>
    </w:p>
    <w:p>
      <w:pPr>
        <w:spacing w:after="0"/>
        <w:rPr>
          <w:sz w:val="20"/>
          <w:szCs w:val="20"/>
          <w:color w:val="auto"/>
        </w:rPr>
      </w:pPr>
      <w:r>
        <w:rPr>
          <w:rFonts w:ascii="Times New Roman" w:cs="Times New Roman" w:eastAsia="Times New Roman" w:hAnsi="Times New Roman"/>
          <w:sz w:val="17"/>
          <w:szCs w:val="17"/>
          <w:color w:val="auto"/>
        </w:rPr>
        <w:t>distribution of the type described in this ‎Section 14.04(a) is declared but not so paid or made, the Conversion Rate shall be immediately readjusted,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the Company determines not to pay such dividend or distribution, to the Conversion Rate that would then be in effect if such dividend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had not been declared.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If the Company issues to all or substantially all holders of the Common Stock any rights, options or warrants (other than in connection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stockholder rights plan) entitling them, for a period of not more than 45 calendar days after the announcement date of such issuance, to subscribe for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shares of the Common Stock at a price per share that is less than the average of the Last Reported Sale Prices of the Common Stock for the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consecutive Trading Day period ending on, and including, the Trading Day immediately preceding the date of announcement of such issuance,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Rate shall be increased based on the following formula: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43050" cy="539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89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issuance;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open of business on such Ex-Dividend Date;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80" w:hanging="672"/>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issuable pursuant to such rights, options or warrants; and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right="200" w:hanging="1132"/>
        <w:spacing w:after="0" w:line="250" w:lineRule="auto"/>
        <w:tabs>
          <w:tab w:leader="none" w:pos="6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increase made under this Section 14‎.04(b)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Section 14‎.04(b) and for the purpose of Section 14‎.01(b)(ii)(A), in determining whether any rights, options or warrants entitle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Common Stock to subscribe for or purchase shares of the Common Stock at less than such average of the Last Reported Sale Prices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for the 10 consecutive Trading Day period ending on, and including, the Trading Day immediately preceding the date of announcement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issuance, and in determining the aggregate offering price of such shares of Common Stock, there shall be taken into account any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by the Company for such rights, options or warrants and any amount payable on exercise or conversion thereof, the value of such consideration,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cash, to be determined by the Company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7"/>
          <w:szCs w:val="17"/>
          <w:color w:val="auto"/>
        </w:rPr>
        <w:t>(c)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have been effected but for ‎Section 14.04(j)) pursuant to</w:t>
      </w:r>
    </w:p>
    <w:p>
      <w:pPr>
        <w:ind w:right="400"/>
        <w:spacing w:after="0" w:line="265" w:lineRule="auto"/>
        <w:rPr>
          <w:sz w:val="20"/>
          <w:szCs w:val="20"/>
          <w:color w:val="auto"/>
        </w:rPr>
      </w:pPr>
      <w:r>
        <w:rPr>
          <w:rFonts w:ascii="Times New Roman" w:cs="Times New Roman" w:eastAsia="Times New Roman" w:hAnsi="Times New Roman"/>
          <w:sz w:val="17"/>
          <w:szCs w:val="17"/>
          <w:color w:val="auto"/>
        </w:rPr>
        <w:t>Section 14‎.04(a) or Section 14‎.04(b), (ii) dividends or distributions paid exclusively in cash as to which the provisions set forth in Section 14‎.04(d) shall apply, (iii) distributions of Reference Property upon conversion of, or exchange for, the Common Stock in a Share Exchange Event, including, for the avoidance of doubt, any ability of holders of Common Stock to make an election with respect to the consideration they will receive in any such Share Exchange Event, (iv) except as otherwise provided in this ‎Section 14.04(c) and ‎Section 14.11, rights issued pursuant to a stockholder rights plan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and (v) Spin-Offs as to which the provisions set forth below in this ‎Section 14.04(c) shall apply (any of such shares of Capital Stock, evidences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Rate shall be increased based on the following formula: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2057400" cy="4883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0" cy="48831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distribution;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SP</w:t>
            </w:r>
            <w:r>
              <w:rPr>
                <w:rFonts w:ascii="Times New Roman" w:cs="Times New Roman" w:eastAsia="Times New Roman" w:hAnsi="Times New Roman"/>
                <w:sz w:val="25"/>
                <w:szCs w:val="25"/>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Stock over the 10 consecutive Trading Day period ending on, and including,</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Trading Day immediately preceding the Ex-Dividend Date for such distribution; and</w:t>
            </w:r>
          </w:p>
        </w:tc>
        <w:tc>
          <w:tcPr>
            <w:tcW w:w="0" w:type="dxa"/>
            <w:vAlign w:val="bottom"/>
          </w:tcPr>
          <w:p>
            <w:pPr>
              <w:spacing w:after="0"/>
              <w:rPr>
                <w:sz w:val="1"/>
                <w:szCs w:val="1"/>
                <w:color w:val="auto"/>
              </w:rPr>
            </w:pPr>
          </w:p>
        </w:tc>
      </w:tr>
      <w:tr>
        <w:trPr>
          <w:trHeight w:val="193"/>
        </w:trPr>
        <w:tc>
          <w:tcPr>
            <w:tcW w:w="5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fair market value (as determined by the Company in good faith) of the Distributed Property with respect to each outstanding share of the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on the Ex-Dividend Date for such distribution.</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(as defined above), in lieu of the foregoing increase, each Holder of a Note shall receive, in respect of each $1,000 principal amount thereof, at the same time and upon the same terms as holders of the Common Stock receive the Distributed Property and without having to convert its Notes, the amount and kind of Distributed Property such Holder would have received if such Holder owned a number of shares of Common Stock equal to the Conversion Rate in effect on the Ex-</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Date for the distribution. If the Company determines the “FMV” (as defined above) of any distribution for purposes of this Section 14‎.04(c)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to the actual or when-issued trading market for any securities, it shall in doing so consider the prices in such market over the same period used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computing the Last Reported Sale Prices of the Common Stock over the 10 consecutive Trading Day period ending on, and including, the Trading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the Ex-Dividend Date for such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2057400" cy="531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end of the Valuation Period;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Rate in effect immediately after the end of the Valuation Period;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FMV</w:t>
            </w:r>
            <w:r>
              <w:rPr>
                <w:rFonts w:ascii="Times New Roman" w:cs="Times New Roman" w:eastAsia="Times New Roman" w:hAnsi="Times New Roman"/>
                <w:sz w:val="25"/>
                <w:szCs w:val="25"/>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average of the Last Reported Sale Prices of the Capital Stock or similar equity interest distributed to holders of the Common Stock</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 to one share of the Common Stock (determined by reference to the definition of Last Reported Sale Price as set forth in</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 as if references therein to Common Stock were to such Capital Stock or similar equity interest) over the first 10 consecutive</w:t>
            </w:r>
          </w:p>
        </w:tc>
        <w:tc>
          <w:tcPr>
            <w:tcW w:w="0" w:type="dxa"/>
            <w:vAlign w:val="bottom"/>
          </w:tcPr>
          <w:p>
            <w:pPr>
              <w:spacing w:after="0"/>
              <w:rPr>
                <w:sz w:val="1"/>
                <w:szCs w:val="1"/>
                <w:color w:val="auto"/>
              </w:rPr>
            </w:pPr>
          </w:p>
        </w:tc>
      </w:tr>
      <w:tr>
        <w:trPr>
          <w:trHeight w:val="238"/>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MP</w:t>
            </w:r>
            <w:r>
              <w:rPr>
                <w:rFonts w:ascii="Times New Roman" w:cs="Times New Roman" w:eastAsia="Times New Roman" w:hAnsi="Times New Roman"/>
                <w:sz w:val="26"/>
                <w:szCs w:val="26"/>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Stock over the Valuation Period.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references to “10” in the preceding paragraph shall be deemed to be replaced with such lesser number of Trading Days as have elapsed from, and including, the Ex-Dividend Date of such Spin-Off to, and including, such Trading Day in determining the Conversion Rate as of such Trading Day. If any dividend or distribution constituting a Spin-Off is declared but not so paid or made, the Conversion Rate shall be immediately decreased, effective as of the date the Company determines not to pay or make such dividend or distribution, to the Conversion Rate that would then be in effect if such dividend or distribution had not been declared or announced.  </w:t>
      </w:r>
    </w:p>
    <w:p>
      <w:pPr>
        <w:spacing w:after="0" w:line="211"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17"/>
          <w:szCs w:val="17"/>
          <w:color w:val="auto"/>
        </w:rPr>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7"/>
          <w:szCs w:val="17"/>
          <w:b w:val="1"/>
          <w:bCs w:val="1"/>
          <w:color w:val="auto"/>
        </w:rPr>
        <w:t>Trigger Event</w:t>
      </w:r>
      <w:r>
        <w:rPr>
          <w:rFonts w:ascii="Times New Roman" w:cs="Times New Roman" w:eastAsia="Times New Roman" w:hAnsi="Times New Roman"/>
          <w:sz w:val="17"/>
          <w:szCs w:val="17"/>
          <w:color w:val="auto"/>
        </w:rPr>
        <w:t>”): (i) are deemed to be transferred with such shares of the Common Stock; (ii) are not exercisable; and (iii) are also issued in respect of future issuances of the Common Stock,</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also includes one or both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 dividend or distribution of shares of Common Stock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Section 14‎.04(a) or “outstanding immediately prior to the open of business on such Ex-Dividend Date” within the meaning of Section 14‎.04(b).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00" w:firstLine="648"/>
        <w:spacing w:after="0" w:line="255" w:lineRule="auto"/>
        <w:rPr>
          <w:sz w:val="20"/>
          <w:szCs w:val="20"/>
          <w:color w:val="auto"/>
        </w:rPr>
      </w:pPr>
      <w:r>
        <w:rPr>
          <w:rFonts w:ascii="Times New Roman" w:cs="Times New Roman" w:eastAsia="Times New Roman" w:hAnsi="Times New Roman"/>
          <w:sz w:val="18"/>
          <w:szCs w:val="18"/>
          <w:color w:val="auto"/>
        </w:rPr>
        <w:t>(d)            If any dividend or distribution paid exclusively in cash is made to all or substantially all holders of the Common Stock, (other than any dividends or distributions of any Reference Property consisting of cash upon conversion of, or in exchange for, the Common Stock in a Share Exchange Event), the Conversion Rate shall be adjusted based on the following formula: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14500" cy="548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02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dividend or distribution;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the Ex-Dividend Date for such dividend or distribution;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SP</w:t>
            </w:r>
            <w:r>
              <w:rPr>
                <w:rFonts w:ascii="Times New Roman" w:cs="Times New Roman" w:eastAsia="Times New Roman" w:hAnsi="Times New Roman"/>
                <w:sz w:val="25"/>
                <w:szCs w:val="25"/>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Last Reported Sale Price of the Common Stock on the Trading Day immediately preceding the Ex-Dividend Date for such dividend or</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and</w:t>
            </w:r>
          </w:p>
        </w:tc>
        <w:tc>
          <w:tcPr>
            <w:tcW w:w="0" w:type="dxa"/>
            <w:vAlign w:val="bottom"/>
          </w:tcPr>
          <w:p>
            <w:pPr>
              <w:spacing w:after="0"/>
              <w:rPr>
                <w:sz w:val="1"/>
                <w:szCs w:val="1"/>
                <w:color w:val="auto"/>
              </w:rPr>
            </w:pPr>
          </w:p>
        </w:tc>
      </w:tr>
      <w:tr>
        <w:trPr>
          <w:trHeight w:val="211"/>
        </w:trPr>
        <w:tc>
          <w:tcPr>
            <w:tcW w:w="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cash per share the Company distributes to all or substantially all holders of the Common Stock.</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10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for each $1,000 principal amount of Notes, at the same time and upon the same terms as holders of shares of the Common Stock and without having to convert its Notes, the amount of cash that such Holder would have received if such Holder owned a number of shares of Common Stock equal to the Conversion Rate on the Ex-Dividend Date for such cash dividend or distribution.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If the Company or any of its Subsidiaries make a payment in respect of a tender or exchange offer for the Common Stock that is subject to the then-applicable tender offer rules under the Exchange Act, other than an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2143125" cy="59118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3125" cy="591185"/>
                    </a:xfrm>
                    <a:prstGeom prst="rect">
                      <a:avLst/>
                    </a:prstGeom>
                    <a:noFill/>
                    <a:ln>
                      <a:noFill/>
                    </a:ln>
                  </pic:spPr>
                </pic:pic>
              </a:graphicData>
            </a:graphic>
          </wp:inline>
        </w:drawing>
      </w:r>
      <w:r>
        <w:rPr>
          <w:rFonts w:ascii="Times New Roman" w:cs="Times New Roman" w:eastAsia="Times New Roman" w:hAnsi="Times New Roman"/>
          <w:sz w:val="18"/>
          <w:szCs w:val="18"/>
          <w:color w:val="auto"/>
        </w:rPr>
        <w:t>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80" w:hanging="1133"/>
        <w:spacing w:after="0" w:line="250" w:lineRule="auto"/>
        <w:tabs>
          <w:tab w:leader="none" w:pos="660" w:val="left"/>
        </w:tabs>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sz w:val="20"/>
          <w:szCs w:val="20"/>
          <w:color w:val="auto"/>
        </w:rPr>
        <w:tab/>
      </w:r>
      <w:r>
        <w:rPr>
          <w:rFonts w:ascii="Times New Roman" w:cs="Times New Roman" w:eastAsia="Times New Roman" w:hAnsi="Times New Roman"/>
          <w:sz w:val="18"/>
          <w:szCs w:val="18"/>
          <w:color w:val="auto"/>
        </w:rPr>
        <w:t>= the Conversion Rate in effect immediately prior to the close of business on the 10th Trading Day immediately following, and including, the Trading Day next succeeding the date such tender or exchange offer expires;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80" w:right="260" w:hanging="1133"/>
        <w:spacing w:after="0" w:line="250" w:lineRule="auto"/>
        <w:tabs>
          <w:tab w:leader="none" w:pos="660" w:val="left"/>
        </w:tabs>
        <w:rPr>
          <w:sz w:val="20"/>
          <w:szCs w:val="20"/>
          <w:color w:val="auto"/>
        </w:rPr>
      </w:pPr>
      <w:r>
        <w:rPr>
          <w:rFonts w:ascii="Times New Roman" w:cs="Times New Roman" w:eastAsia="Times New Roman" w:hAnsi="Times New Roman"/>
          <w:sz w:val="18"/>
          <w:szCs w:val="18"/>
          <w:color w:val="auto"/>
        </w:rPr>
        <w:t>CR'</w:t>
      </w:r>
      <w:r>
        <w:rPr>
          <w:sz w:val="20"/>
          <w:szCs w:val="20"/>
          <w:color w:val="auto"/>
        </w:rPr>
        <w:tab/>
      </w:r>
      <w:r>
        <w:rPr>
          <w:rFonts w:ascii="Times New Roman" w:cs="Times New Roman" w:eastAsia="Times New Roman" w:hAnsi="Times New Roman"/>
          <w:sz w:val="18"/>
          <w:szCs w:val="18"/>
          <w:color w:val="auto"/>
        </w:rPr>
        <w:t>= the Conversion Rate in effect immediately after the close of business on the 10th Trading Day immediately following, and including, the Trading Day next succeeding the date such tender or exchange offer expires;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80" w:right="420" w:hanging="1133"/>
        <w:spacing w:after="0" w:line="250" w:lineRule="auto"/>
        <w:tabs>
          <w:tab w:leader="none" w:pos="66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8"/>
          <w:szCs w:val="18"/>
          <w:color w:val="auto"/>
        </w:rPr>
        <w:t>= the aggregate value of all cash and any other consideration (as determined by the Company in good faith) paid or payable for shares of Common Stock purchased in such tender or exchange offer;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line="191"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80" w:right="100" w:hanging="1133"/>
        <w:spacing w:after="0" w:line="250" w:lineRule="auto"/>
        <w:tabs>
          <w:tab w:leader="none" w:pos="660" w:val="left"/>
        </w:tabs>
        <w:rPr>
          <w:sz w:val="20"/>
          <w:szCs w:val="20"/>
          <w:color w:val="auto"/>
        </w:rPr>
      </w:pPr>
      <w:r>
        <w:rPr>
          <w:rFonts w:ascii="Times New Roman" w:cs="Times New Roman" w:eastAsia="Times New Roman" w:hAnsi="Times New Roman"/>
          <w:sz w:val="18"/>
          <w:szCs w:val="18"/>
          <w:color w:val="auto"/>
        </w:rPr>
        <w:t>OS'</w:t>
      </w:r>
      <w:r>
        <w:rPr>
          <w:sz w:val="20"/>
          <w:szCs w:val="20"/>
          <w:color w:val="auto"/>
        </w:rPr>
        <w:tab/>
      </w:r>
      <w:r>
        <w:rPr>
          <w:rFonts w:ascii="Times New Roman" w:cs="Times New Roman" w:eastAsia="Times New Roman" w:hAnsi="Times New Roman"/>
          <w:sz w:val="18"/>
          <w:szCs w:val="18"/>
          <w:color w:val="auto"/>
        </w:rPr>
        <w:t>=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80" w:right="540" w:hanging="1133"/>
        <w:spacing w:after="0" w:line="250" w:lineRule="auto"/>
        <w:tabs>
          <w:tab w:leader="none" w:pos="660" w:val="left"/>
        </w:tabs>
        <w:rPr>
          <w:sz w:val="20"/>
          <w:szCs w:val="20"/>
          <w:color w:val="auto"/>
        </w:rPr>
      </w:pPr>
      <w:r>
        <w:rPr>
          <w:rFonts w:ascii="Times New Roman" w:cs="Times New Roman" w:eastAsia="Times New Roman" w:hAnsi="Times New Roman"/>
          <w:sz w:val="18"/>
          <w:szCs w:val="18"/>
          <w:color w:val="auto"/>
        </w:rPr>
        <w:t>SP'</w:t>
      </w:r>
      <w:r>
        <w:rPr>
          <w:sz w:val="20"/>
          <w:szCs w:val="20"/>
          <w:color w:val="auto"/>
        </w:rPr>
        <w:tab/>
      </w:r>
      <w:r>
        <w:rPr>
          <w:rFonts w:ascii="Times New Roman" w:cs="Times New Roman" w:eastAsia="Times New Roman" w:hAnsi="Times New Roman"/>
          <w:sz w:val="18"/>
          <w:szCs w:val="18"/>
          <w:color w:val="auto"/>
        </w:rPr>
        <w:t>= the average of the Last Reported Sale Prices of the Common Stock over the 10 consecutive Trading Day period commencing on, and including, the Trading Day next succeeding the date such tender or exchange offer expires.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increase to the Conversion Rate under this Section 14‎.04(e) shall occur at the close of business on the 10th Trading Day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following, and including, the Trading Day next succeeding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for which Physical Settlement is applicable, if the relevant Conversion Date occurs during the 10 Trading Days immediately following,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Trading Day next succeeding the expiration date of any tender or exchange offer, references to “10” or “10th” in the preceding paragraph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deemed replaced with such lesser number of Trading Days as have elapsed from, and including, the Trading Day next succeeding the date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or exchange offer expires to, and including, the Conversion Date in determining the Conversion Rate and (y) in respect of any conversion of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which Cash Settlement or Combination Settlement is applicable, for any Trading Day that falls within the relevant Observation Period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and within the 10 Trading Days immediately following, and including, the Trading Day next succeeding the expiration date of any tender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offer, references to “10” or “10th” in the preceding paragraph shall be deemed replaced with such lesser number of Trading Days as have elapsed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and including, the Trading Day next succeeding the expiration date of such tender or exchange offer to, and including, such Trading Day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the Conversion Rate as of such Trading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18"/>
          <w:szCs w:val="18"/>
          <w:color w:val="auto"/>
        </w:rPr>
        <w:t>If the Company is, or one of the Company’s Subsidiaries is, obligated to purchase the Common Stock pursuant to any such tender or exchange offer described in this ‎Section 14.04(e) but the Company is, or such Subsidiary is, permanently prevented by applicable law from effecting any such purchase or all such purchases are rescinded, the applicable Conversion Rate shall be decreased to be the Conversion Rate that would then be in effect if such tender or exchange offer had not been made or had been made only in respect of the purchases that have been effected.  </w:t>
      </w:r>
    </w:p>
    <w:p>
      <w:pPr>
        <w:spacing w:after="0" w:line="20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(f)            Notwithstanding this ‎Section 14.04 or any other provision of this Indenture or the Notes, if (i) a Conversion Rate adjustment becomes effective on any Ex-Dividend Date, (ii) a Note is to be converted for which Physical Settlement or Combination Settlement applies, (iii) the Conversion Date for such conversion (in the case of Physical Settlement) or any Trading Day in the Observation Period for such conversion (in the case of Combination Settlement) occurs on or after such Ex-Dividend Date and on or prior to the related Record Date, (iv) the consideration due upon such conversion (in the case of Physical Settlement) or due with respect to such Trading Day in the Observation Period (in the case of Combination Settlement) includes any whole shares of Common Stock based on a Conversion Rate that is adjusted for such Ex-Dividend Date, and (v) such shares of Common Stock would be entitled to participate in such dividend, distribution or other event giving rise to such adjustment, then, notwithstanding the Conversion 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provisions in this Section 14‎.04, (x) in the case of Physical Settlement, the Conversion Rate adjustment relating to such Ex-Dividend Date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made for such conversion, and, instead, the shares of Common Stock issuable upon conversion on an unadjusted basis shall be entitled to participate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related dividend, distribution or other event giving rise to such adjustment, and (y) in the case of Combination Settlement, the Conversion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relating to such Ex-Dividend Date shall be made for such conversion in respect of such Trading Day in the Observation Period, but the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issuable with respect to such Trading Day based on such adjusted Conversion Rate shall not be entitled to participate in such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or other event giving rise to such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Except as stated herein, the Company shall not adjust the Conversion Rate for the issuance of shares of the Common Stock or any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into or exchangeable for shares of the Common Stock or the right to purchase shares of the Common Stock or such convertible or exchangeable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color w:val="auto"/>
        </w:rPr>
        <w:t>(h)            In addition to those adjustments required by clauses (a),‎ (b),‎ (c),‎ (d) and‎ (e) of‎ this Section 14‎.04, and to the extent permitted by applicable law and subject to the applicable rules of The Nasdaq Global Select Market,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The Nasdaq Global Select Market,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give written notice to the Trustee and Conversion Agent (if other than the Trustee) and deliver to the Holder of each Note a notice of the increase at least 15 days prior to the date the increased Conversion Rate takes effect, and such notice shall state the increased Conversion Rate and the period during which it will be in effect.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Notwithstanding anything to the contrary in this ‎Article 14, the Conversion Rate shall not be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972"/>
        <w:spacing w:after="0" w:line="250" w:lineRule="auto"/>
        <w:rPr>
          <w:sz w:val="20"/>
          <w:szCs w:val="20"/>
          <w:color w:val="auto"/>
        </w:rPr>
      </w:pPr>
      <w:r>
        <w:rPr>
          <w:rFonts w:ascii="Times New Roman" w:cs="Times New Roman" w:eastAsia="Times New Roman" w:hAnsi="Times New Roman"/>
          <w:sz w:val="18"/>
          <w:szCs w:val="18"/>
          <w:color w:val="auto"/>
        </w:rPr>
        <w:t>(i)            upon the repurchase of shares of Common Stock pursuant to an open market share repurchase program or other buy-back transactions, including structured or derivative transactions, such as accelerated share repurchase transactions or similar forward derivative, that is not a tender or exchange offer described in ‎Section 14.04(e);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upon the issuance of shares of Common Stock at a price below the Conversion Price or otherwise, other than any such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issuance described in clause (a),‎ (b) or‎ (c) of‎ this Section 14‎.04;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0" w:firstLine="972"/>
        <w:spacing w:after="0" w:line="250" w:lineRule="auto"/>
        <w:rPr>
          <w:sz w:val="20"/>
          <w:szCs w:val="20"/>
          <w:color w:val="auto"/>
        </w:rPr>
      </w:pPr>
      <w:r>
        <w:rPr>
          <w:rFonts w:ascii="Times New Roman" w:cs="Times New Roman" w:eastAsia="Times New Roman" w:hAnsi="Times New Roman"/>
          <w:sz w:val="18"/>
          <w:szCs w:val="18"/>
          <w:color w:val="auto"/>
        </w:rPr>
        <w:t>(iii)            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40" w:firstLine="972"/>
        <w:spacing w:after="0" w:line="265" w:lineRule="auto"/>
        <w:rPr>
          <w:sz w:val="20"/>
          <w:szCs w:val="20"/>
          <w:color w:val="auto"/>
        </w:rPr>
      </w:pPr>
      <w:r>
        <w:rPr>
          <w:rFonts w:ascii="Times New Roman" w:cs="Times New Roman" w:eastAsia="Times New Roman" w:hAnsi="Times New Roman"/>
          <w:sz w:val="17"/>
          <w:szCs w:val="17"/>
          <w:color w:val="auto"/>
        </w:rPr>
        <w:t>(iv)            upon the issuance of any shares of Common Stock or options or rights to purchase those shares pursuant to any present or future employee, director or consultant benefit or incentive plan (including pursuant to an evergreen plan) or program of or assumed by the Company or any of the Company’s Subsidiaries or in connection with any such shares withheld by the Company for tax withholding purposes;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20" w:firstLine="972"/>
        <w:spacing w:after="0" w:line="250" w:lineRule="auto"/>
        <w:rPr>
          <w:sz w:val="20"/>
          <w:szCs w:val="20"/>
          <w:color w:val="auto"/>
        </w:rPr>
      </w:pPr>
      <w:r>
        <w:rPr>
          <w:rFonts w:ascii="Times New Roman" w:cs="Times New Roman" w:eastAsia="Times New Roman" w:hAnsi="Times New Roman"/>
          <w:sz w:val="18"/>
          <w:szCs w:val="18"/>
          <w:color w:val="auto"/>
        </w:rPr>
        <w:t>(v)            upon the issuance of any shares of the Common Stock pursuant to any option, warrant, right or exercisable, exchangeable or convertible security not described in clause ‎(iv) of this subsection and outstanding as of the date the Notes were first issued;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            for a tender or exchange offer by any party other than a tender or exchange offer by the Company or one or more of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Company’s Subsidiaries described in Section 14‎.04(e);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            solely for a change in the par value (or lack of par value) of the Common Stock;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(viii)            for accrued and unpaid Special Interest,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Notwithstanding this ‎Section 14.04 or any other provisions of this Indenture, the Company shall not adjust the Conversion Rate pursuant to</w:t>
      </w:r>
    </w:p>
    <w:p>
      <w:pPr>
        <w:spacing w:after="0" w:line="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any section in this Section 14‎.04 unless the adjustment would result in a change of at least 1% in the then-effective Conversion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carry forward any adjustment to the Conversion Rate that the Company would otherwise have to make and take that adjustment into account in any subsequent adjustment;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all such carried-forward adjustments shall be made with respect to Notes (i) in connection with any subsequent adjustment to the Conversion Rate of at least 1% of the Conversion Rate, (ii) regardless of whether the aggregate adjustment is less than 1% of the Conversion Rate (x) on the Conversion Date for any Notes (in the case of Physical Settlement or any conversion following a replacement of the Common Stock by Reference Property consisting solely of cash) or (y) on each Trading Day of any Observation Period (in the case of Cash Settlement or Combination Settlement), (iii) on any Effective Date for any Fundamental Change and/or Make-Whole Fundamental Change and (iv) on June 15 of each calendar year on or prior to the Maturity Date, in each case, unless the adjustment has already been made.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All calculations and other determinations under this Article 14‎ shall be made by the Company and shall be made to the nearest one-ten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thousandth (1/10,000th) of a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(l)            Whenever the Conversion Rate is adjusted as herein provided, the Company shall promptly file with the Trustee (and the Conversion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not the Trustee) an Officers’ Certificate setting forth the Conversion Rate after such adjustment and setting forth a brief statement of the facts requiring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adjustment. Unless and until a Responsible Officer of the Trustee and Conversion Agent (if not the Trustee) shall have received such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the Trustee and Conversion Agent shall not be deemed to have knowledge of any adjustment of the Conversion Rate and may assume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inquiry that the last Conversion Rate of which it has knowledge is still in effect. Promptly after delivery of such certificate, the Company shall prepare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such adjustment of the Conversion Rate setting forth the adjusted Conversion Rate and the date on which each adjustment becomes effective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deliver such notice of such adjustment of the Conversion Rate to each Holder. Failure to deliver such notice shall not affect the legality or validity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For purposes of this Section 14‎.04, the number of shares of Common Stock at any time outstanding shall not include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held in the treasury of the Company so long as the Company does not pay any dividend or make any distribution on shares of Common Stock held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treasury of the Company, but shall include shares of Common Stock issuable in respect of scrip certificates issued in lieu of fractions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Section 14.05</w:t>
      </w:r>
      <w:r>
        <w:rPr>
          <w:rFonts w:ascii="Times New Roman" w:cs="Times New Roman" w:eastAsia="Times New Roman" w:hAnsi="Times New Roman"/>
          <w:sz w:val="18"/>
          <w:szCs w:val="18"/>
          <w:i w:val="1"/>
          <w:iCs w:val="1"/>
          <w:color w:val="auto"/>
        </w:rPr>
        <w:t>. Adjustments of Prices.</w:t>
      </w:r>
      <w:r>
        <w:rPr>
          <w:rFonts w:ascii="Times New Roman" w:cs="Times New Roman" w:eastAsia="Times New Roman" w:hAnsi="Times New Roman"/>
          <w:sz w:val="18"/>
          <w:szCs w:val="18"/>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for determining the Stock Price for purposes of a Make-Whole Fundamental Change or Optional Redemption), the Company, in good faith, shall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  </w:t>
      </w:r>
    </w:p>
    <w:p>
      <w:pPr>
        <w:spacing w:after="0" w:line="207" w:lineRule="exact"/>
        <w:rPr>
          <w:sz w:val="20"/>
          <w:szCs w:val="20"/>
          <w:color w:val="auto"/>
        </w:rPr>
      </w:pPr>
    </w:p>
    <w:p>
      <w:pPr>
        <w:ind w:right="480" w:firstLine="648"/>
        <w:spacing w:after="0" w:line="265" w:lineRule="auto"/>
        <w:rPr>
          <w:sz w:val="20"/>
          <w:szCs w:val="20"/>
          <w:color w:val="auto"/>
        </w:rPr>
      </w:pPr>
      <w:r>
        <w:rPr>
          <w:rFonts w:ascii="Times New Roman" w:cs="Times New Roman" w:eastAsia="Times New Roman" w:hAnsi="Times New Roman"/>
          <w:sz w:val="17"/>
          <w:szCs w:val="17"/>
          <w:color w:val="auto"/>
        </w:rPr>
        <w:t>Section 14.06</w:t>
      </w:r>
      <w:r>
        <w:rPr>
          <w:rFonts w:ascii="Times New Roman" w:cs="Times New Roman" w:eastAsia="Times New Roman" w:hAnsi="Times New Roman"/>
          <w:sz w:val="17"/>
          <w:szCs w:val="17"/>
          <w:i w:val="1"/>
          <w:iCs w:val="1"/>
          <w:color w:val="auto"/>
        </w:rPr>
        <w:t>. Shares to Be Fully Paid.</w:t>
      </w:r>
      <w:r>
        <w:rPr>
          <w:rFonts w:ascii="Times New Roman" w:cs="Times New Roman" w:eastAsia="Times New Roman" w:hAnsi="Times New Roman"/>
          <w:sz w:val="17"/>
          <w:szCs w:val="17"/>
          <w:color w:val="auto"/>
        </w:rPr>
        <w:t xml:space="preserve"> The Company shall provide, free from preemptive rights, out of its authorized but unissued shares or shares held in treasury, sufficient shares of Common Stock to provide for conversion of the Notes from time to time as such Notes are presented for</w:t>
      </w:r>
    </w:p>
    <w:p>
      <w:pPr>
        <w:ind w:right="80"/>
        <w:spacing w:after="0" w:line="260" w:lineRule="auto"/>
        <w:rPr>
          <w:sz w:val="20"/>
          <w:szCs w:val="20"/>
          <w:color w:val="auto"/>
        </w:rPr>
      </w:pPr>
      <w:r>
        <w:rPr>
          <w:rFonts w:ascii="Times New Roman" w:cs="Times New Roman" w:eastAsia="Times New Roman" w:hAnsi="Times New Roman"/>
          <w:sz w:val="18"/>
          <w:szCs w:val="18"/>
          <w:color w:val="auto"/>
        </w:rPr>
        <w:t>conversion (assuming delivery of the maximum number of Additional Shares pursuant to Section 14‎.03 and that at the time of computation of such number of shares, all such Notes would be converted by a single Holder and that Physical Settlement were applicable).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14.07</w:t>
      </w:r>
      <w:r>
        <w:rPr>
          <w:rFonts w:ascii="Times New Roman" w:cs="Times New Roman" w:eastAsia="Times New Roman" w:hAnsi="Times New Roman"/>
          <w:sz w:val="18"/>
          <w:szCs w:val="18"/>
          <w:i w:val="1"/>
          <w:iCs w:val="1"/>
          <w:color w:val="auto"/>
        </w:rPr>
        <w:t>. Effect of Recapitalizations, Reclassifications and Changes of the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 the case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972"/>
        <w:spacing w:after="0" w:line="250" w:lineRule="auto"/>
        <w:rPr>
          <w:sz w:val="20"/>
          <w:szCs w:val="20"/>
          <w:color w:val="auto"/>
        </w:rPr>
      </w:pPr>
      <w:r>
        <w:rPr>
          <w:rFonts w:ascii="Times New Roman" w:cs="Times New Roman" w:eastAsia="Times New Roman" w:hAnsi="Times New Roman"/>
          <w:sz w:val="18"/>
          <w:szCs w:val="18"/>
          <w:color w:val="auto"/>
        </w:rPr>
        <w:t>(i)            any recapitalization, reclassification or change of the Common Stock (other than a change to par value, or from par value to no par value, or changes resulting from a subdivision or combination),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any consolidation, merger, combination or similar transaction involving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80" w:firstLine="972"/>
        <w:spacing w:after="0" w:line="250" w:lineRule="auto"/>
        <w:rPr>
          <w:sz w:val="20"/>
          <w:szCs w:val="20"/>
          <w:color w:val="auto"/>
        </w:rPr>
      </w:pPr>
      <w:r>
        <w:rPr>
          <w:rFonts w:ascii="Times New Roman" w:cs="Times New Roman" w:eastAsia="Times New Roman" w:hAnsi="Times New Roman"/>
          <w:sz w:val="18"/>
          <w:szCs w:val="18"/>
          <w:color w:val="auto"/>
        </w:rPr>
        <w:t>(iii)            any sale, lease or other transfer to a third party of the consolidated assets of the Company and the Company’s Subsidiaries substantially as an entirety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(iv)            any statutory share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as a result of which the Common Stock would be converted into, or exchanged for, stock, other securities, other property or assets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or any combination thereof) (any such event, a “</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then, at and after the effective time of such Share Exchange Event,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to convert each $1,000 principal amount of Notes shall be changed into a right to convert such principal amount of Notes into the kind and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stock, other securities or other property or assets (including cash or any combination thereof) that a holder of a number of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equal to the Conversion Rate immediately prior to such Share Exchange Event would have owned or been entitled to receive (the “</w:t>
      </w:r>
      <w:r>
        <w:rPr>
          <w:rFonts w:ascii="Times New Roman" w:cs="Times New Roman" w:eastAsia="Times New Roman" w:hAnsi="Times New Roman"/>
          <w:sz w:val="18"/>
          <w:szCs w:val="18"/>
          <w:b w:val="1"/>
          <w:bCs w:val="1"/>
          <w:color w:val="auto"/>
        </w:rPr>
        <w:t>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share of Common Stock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receive) upon such Share Exchange Event and, prior to or at the effective time of such Share Exchange Event, the Company or the successor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purchasing Person, as the case may be, shall execute with the Trustee, and without the consent of the Holders, a supplemental indenture permitted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10.01(g) providing for such change in the right to convert each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the Share Exchange Event (A) the Company shall continue to have the right to determine the form of consideration to be paid or delivered, as the</w:t>
      </w:r>
    </w:p>
    <w:p>
      <w:pPr>
        <w:spacing w:after="0" w:line="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case may be, upon conversion of Notes in accordance with Section 14‎.02 and (B) (I) any amount payable in cash upon conversion of the Notes in accordance with ‎Section 14.02 shall continue to be payable in cash, (II) any shares of Common Stock that the Company would have been required to deliver</w:t>
      </w:r>
    </w:p>
    <w:p>
      <w:pPr>
        <w:spacing w:after="0"/>
        <w:rPr>
          <w:sz w:val="20"/>
          <w:szCs w:val="20"/>
          <w:color w:val="auto"/>
        </w:rPr>
      </w:pPr>
      <w:r>
        <w:rPr>
          <w:rFonts w:ascii="Times New Roman" w:cs="Times New Roman" w:eastAsia="Times New Roman" w:hAnsi="Times New Roman"/>
          <w:sz w:val="18"/>
          <w:szCs w:val="18"/>
          <w:color w:val="auto"/>
        </w:rPr>
        <w:t>upon conversion of the Notes in accordance with ‎Section 14.02 shall instead be deliverable in the amount and type of Reference Property that a holder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number of shares of Common Stock would have been entitled to receive in such Share Exchange Event and (III) the Daily VWAP or the Last Reported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Price of any unit of Reference Property or portion thereof that does not consist of a class of securities shall be the fair value of such unit of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or portion thereof, as applicable, as determined in good faith by the Company (or in the case of cash denominated in U.S. dollars, the face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Common Stock in such Share Exchange Event and (B) the Company shall satisfy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Obligation by paying cash to converting Holders on the second Business Day immediately following the relevant Conversion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notify Holders, the Trustee and the Conversion Agent (if other than the Trustee) in writing of such weighted average as soon as practicable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such determination is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Such supplemental indenture described in the second immediately preceding paragraph shall provide for anti-dilution and other adjustments that shall be as nearly equivalent as is possible to the adjustments provided for in this ‎Article 14. If, in the case of any Share Exchange Event, the Reference Property includes shares of stock, securities or other property or assets (including cash or any combination thereof) of a Person other than the successor or purchasing corporation, as the case may be, in such Share Exchange Event, then such supplemental indenture shall also be executed by such other Person and shall contain such additional provisions to protect the interests of the Holders of the Notes as the Board of Directors shall reasonably consider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by reason of the foregoing, including the provisions providing for the purchase rights set forth in Article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When the Company executes a supplemental indenture pursuant to subsection ‎(a) of this ‎Section 14.07, the Company shall promptly file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Trustee an Officers’ Certificate briefly stating the reasons therefor, the kind or amount of cash, securities or property or asset that will comprise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of Reference Property after any such Share Exchange Event, any adjustment to be made with respect thereto and that all conditions precedent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complied with and shall promptly deliver or cause to be delivered notice thereof to all Holders. The Company shall cause notice of the execution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supplemental indenture to be delivered to each Holder within 20 days after execution thereof. Failure to deliver such notice shall not affect the legality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validity of such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None of the foregoing provisions shall affect the right of a holder of Notes to convert its Notes into cash, shares of Common Stock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of cash and shares of Common Stock, as applicable, as set forth in Section 14‎.01 and Section 14‎.02 prior to the effective date of such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above provisions of this Section shall similarly apply to successive Share Exchange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 Certain Covenants.</w:t>
      </w:r>
      <w:r>
        <w:rPr>
          <w:rFonts w:ascii="Times New Roman" w:cs="Times New Roman" w:eastAsia="Times New Roman" w:hAnsi="Times New Roman"/>
          <w:sz w:val="18"/>
          <w:szCs w:val="18"/>
          <w:color w:val="auto"/>
        </w:rPr>
        <w:t xml:space="preserve"> (a) The Company covenants that all shares of Common Stock issued upon conversion of Notes will be fully paid and non-assessable by the Company and free from all taxes, liens and charges with respect to the issue thereof.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Company covenants that, if any shares of Common Stock to be provided for the purpose of conversion of Notes hereunder require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with or approval of any governmental authority under any federal or state law before such shares of Common Stock may be validly issued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the Company will, to the extent then permitted by the rules and interpretations of the Commission, secure such registration or approval,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360" w:firstLine="648"/>
        <w:spacing w:after="0" w:line="255" w:lineRule="auto"/>
        <w:rPr>
          <w:sz w:val="20"/>
          <w:szCs w:val="20"/>
          <w:color w:val="auto"/>
        </w:rPr>
      </w:pPr>
      <w:r>
        <w:rPr>
          <w:rFonts w:ascii="Times New Roman" w:cs="Times New Roman" w:eastAsia="Times New Roman" w:hAnsi="Times New Roman"/>
          <w:sz w:val="18"/>
          <w:szCs w:val="18"/>
          <w:color w:val="auto"/>
        </w:rPr>
        <w:t>(c)            The Company further covenants that if at any time the Common Stock shall be listed on any national securities exchange or automated quotation system the Company will list and use commercially reasonably efforts to keep listed, so long as the Common Stock shall be so listed on such exchange or automated quotation system, any Common Stock issuable upon conversion of the Notes.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Section 14.09</w:t>
      </w:r>
      <w:r>
        <w:rPr>
          <w:rFonts w:ascii="Times New Roman" w:cs="Times New Roman" w:eastAsia="Times New Roman" w:hAnsi="Times New Roman"/>
          <w:sz w:val="17"/>
          <w:szCs w:val="17"/>
          <w:i w:val="1"/>
          <w:iCs w:val="1"/>
          <w:color w:val="auto"/>
        </w:rPr>
        <w:t>. Responsibility of Trustee.</w:t>
      </w:r>
      <w:r>
        <w:rPr>
          <w:rFonts w:ascii="Times New Roman" w:cs="Times New Roman" w:eastAsia="Times New Roman" w:hAnsi="Times New Roman"/>
          <w:sz w:val="17"/>
          <w:szCs w:val="17"/>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w:t>
      </w:r>
    </w:p>
    <w:p>
      <w:pPr>
        <w:spacing w:after="0" w:line="2"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7"/>
          <w:szCs w:val="17"/>
          <w:color w:val="auto"/>
        </w:rPr>
        <w:t>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w:t>
      </w:r>
    </w:p>
    <w:p>
      <w:pPr>
        <w:ind w:right="380"/>
        <w:spacing w:after="0" w:line="265" w:lineRule="auto"/>
        <w:rPr>
          <w:sz w:val="20"/>
          <w:szCs w:val="20"/>
          <w:color w:val="auto"/>
        </w:rPr>
      </w:pPr>
      <w:r>
        <w:rPr>
          <w:rFonts w:ascii="Times New Roman" w:cs="Times New Roman" w:eastAsia="Times New Roman" w:hAnsi="Times New Roman"/>
          <w:sz w:val="17"/>
          <w:szCs w:val="17"/>
          <w:color w:val="auto"/>
        </w:rPr>
        <w:t>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w:t>
      </w:r>
    </w:p>
    <w:p>
      <w:pPr>
        <w:spacing w:after="0" w:line="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Neither the Trustee nor the Conversion Agent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 or to otherwise independently determine or verify if any Fundamental Change, Make-Whole Fundamental Change, Share Exchange Event, Trigger Event, or any other event has occurred or notify the Holders of any such event. Neither the Trustee nor Conversion Agent shall have the responsibility for any act or omission of any Designated Financial Institution.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Section 14.11</w:t>
      </w:r>
      <w:r>
        <w:rPr>
          <w:rFonts w:ascii="Times New Roman" w:cs="Times New Roman" w:eastAsia="Times New Roman" w:hAnsi="Times New Roman"/>
          <w:sz w:val="17"/>
          <w:szCs w:val="17"/>
          <w:i w:val="1"/>
          <w:iCs w:val="1"/>
          <w:color w:val="auto"/>
        </w:rPr>
        <w:t>. Stockholder Rights Plans.</w:t>
      </w:r>
      <w:r>
        <w:rPr>
          <w:rFonts w:ascii="Times New Roman" w:cs="Times New Roman" w:eastAsia="Times New Roman" w:hAnsi="Times New Roman"/>
          <w:sz w:val="17"/>
          <w:szCs w:val="17"/>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distributed to all or substantially all holders of the Common Stock Distributed Property as provided in Section 14‎.04(c), subject to readjustment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the expiration, termination or redemption of such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14.12</w:t>
      </w:r>
      <w:r>
        <w:rPr>
          <w:rFonts w:ascii="Times New Roman" w:cs="Times New Roman" w:eastAsia="Times New Roman" w:hAnsi="Times New Roman"/>
          <w:sz w:val="18"/>
          <w:szCs w:val="18"/>
          <w:i w:val="1"/>
          <w:iCs w:val="1"/>
          <w:color w:val="auto"/>
        </w:rPr>
        <w:t>. Exchange In Lieu Of Conversion.</w:t>
      </w:r>
      <w:r>
        <w:rPr>
          <w:rFonts w:ascii="Times New Roman" w:cs="Times New Roman" w:eastAsia="Times New Roman" w:hAnsi="Times New Roman"/>
          <w:sz w:val="18"/>
          <w:szCs w:val="18"/>
          <w:color w:val="auto"/>
        </w:rPr>
        <w:t xml:space="preserve"> (a) When a Holder surrenders its Notes for conversion, the Company may, at its election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cause such Notes to be delivered to one or more financial institutions designated by the Company (each, a “</w:t>
      </w:r>
      <w:r>
        <w:rPr>
          <w:rFonts w:ascii="Times New Roman" w:cs="Times New Roman" w:eastAsia="Times New Roman" w:hAnsi="Times New Roman"/>
          <w:sz w:val="18"/>
          <w:szCs w:val="18"/>
          <w:b w:val="1"/>
          <w:bCs w:val="1"/>
          <w:color w:val="auto"/>
        </w:rPr>
        <w:t>Designated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Institution</w:t>
      </w:r>
      <w:r>
        <w:rPr>
          <w:rFonts w:ascii="Times New Roman" w:cs="Times New Roman" w:eastAsia="Times New Roman" w:hAnsi="Times New Roman"/>
          <w:sz w:val="17"/>
          <w:szCs w:val="17"/>
          <w:color w:val="auto"/>
        </w:rPr>
        <w:t>”) for exchange in lieu of conversion. In order to accept any Notes surrendered for conversion, the Designated Financial Institution(s) must agree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writing to timely pay and/or deliver, as the case may be, in exchange for such Notes, the amount of cash, number of shares of Common Stock or any</w:t>
      </w:r>
    </w:p>
    <w:p>
      <w:pPr>
        <w:spacing w:after="0" w:line="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combination thereof, at the Company’s election, that would otherwise be due upon conversion pursuant to Section 14‎.02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If the Company makes an Exchange Election, the Company shall, before the close of business on the Business Day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relevant Conversion Date, notify in writing the Trustee, the Conversion Agent (if other than the Trustee) and the Holder surrendering its Notes for conversion that the Company has made the Exchange Election and the Company shall notify the Designated Financial Institution(s), the Trustee and the Conversion Agent (if other than the Trustee) of the relevant deadline for payment and/or delivery of the Conversion Consideration. If the Company makes an Exchange Election, no later than the second Business Day immediately following the relevant Conversion Date, the Company shall deliver (or cause the Conversion Agent to deliver) the Notes surrendered for exchange to the Designated Financial Institution(s) in lieu of conversion. The Company, the Holder surrendering the Notes for conversion, the Designated Financial Institution(s) and the Conversion Agent shall cooperate to cause such Notes to be delivered to the Designated Financial Institution(s) and the Conversion Agent shall be entitled to conclusively rely upon the Company’s instruction in connection with effecting any Exchange Election and shall have no liability for such Exchange Election outside its control.  </w:t>
      </w:r>
    </w:p>
    <w:p>
      <w:pPr>
        <w:spacing w:after="0" w:line="21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(b)            Any Notes exchanged by the Designated Financial Institution(s) shall remain outstanding notwithstanding the surrender of such Notes, subject to applicable procedures of the Depositary. If the Designated Financial Institution(s) agree(s) to accept any Notes for exchange but does not timely pay and/or deliver, as the case may be, the related Conversion Consideration, or if such Designated Financial Institution does not accept the Notes for exchange, the Company shall notify the Conversion Agent and the Holders surrendering the Notes for conversion in writing and shall pay and/or deliver, as the case may be, the relevant Conversion Consideration as if the Company had not made the Exchange Election.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The Company’s designation of any Designated Financial Institution(s) to which the Notes may be submitted for exchange does not require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Designated Financial Institution(s) to accept any Notes and in such case, the Company shall notify the Conversion Agent of such refusal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Financial Institution(s).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 [Intentionally 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Section 15.02</w:t>
      </w:r>
      <w:r>
        <w:rPr>
          <w:rFonts w:ascii="Times New Roman" w:cs="Times New Roman" w:eastAsia="Times New Roman" w:hAnsi="Times New Roman"/>
          <w:sz w:val="17"/>
          <w:szCs w:val="17"/>
          <w:i w:val="1"/>
          <w:iCs w:val="1"/>
          <w:color w:val="auto"/>
        </w:rPr>
        <w:t>. Repurchase at Option of Holders Upon a Fundamental Change.</w:t>
      </w:r>
      <w:r>
        <w:rPr>
          <w:rFonts w:ascii="Times New Roman" w:cs="Times New Roman" w:eastAsia="Times New Roman" w:hAnsi="Times New Roman"/>
          <w:sz w:val="17"/>
          <w:szCs w:val="17"/>
          <w:color w:val="auto"/>
        </w:rPr>
        <w:t xml:space="preserve"> (a)  If a Fundamental Change occurs at any time prior to the Maturity Date, each Holder shall have the right, at such Holder’s option, to require the Company to repurchase for cash all of such Holder’s Notes, or any portion thereof that is equal to minimum denominations of $1,000 or an integral multiple of $1,000 in excess thereof, on the date (the “</w:t>
      </w:r>
      <w:r>
        <w:rPr>
          <w:rFonts w:ascii="Times New Roman" w:cs="Times New Roman" w:eastAsia="Times New Roman" w:hAnsi="Times New Roman"/>
          <w:sz w:val="17"/>
          <w:szCs w:val="17"/>
          <w:b w:val="1"/>
          <w:bCs w:val="1"/>
          <w:color w:val="auto"/>
        </w:rPr>
        <w:t>Fundamental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Change Repurchase Date</w:t>
      </w:r>
      <w:r>
        <w:rPr>
          <w:rFonts w:ascii="Times New Roman" w:cs="Times New Roman" w:eastAsia="Times New Roman" w:hAnsi="Times New Roman"/>
          <w:sz w:val="17"/>
          <w:szCs w:val="17"/>
          <w:color w:val="auto"/>
        </w:rPr>
        <w:t>”) specified by the Company that is not less than 20 calendar days or more than 35 calendar days following the date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Fundamental Change Company Notice at a repurchase price equal to 100% of the principal amount thereof,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accrued and unpaid Special Interest, if any, thereon to, but excluding, the Fundamental Change Repurchase Date (the “</w:t>
      </w:r>
      <w:r>
        <w:rPr>
          <w:rFonts w:ascii="Times New Roman" w:cs="Times New Roman" w:eastAsia="Times New Roman" w:hAnsi="Times New Roman"/>
          <w:sz w:val="17"/>
          <w:szCs w:val="17"/>
          <w:b w:val="1"/>
          <w:bCs w:val="1"/>
          <w:color w:val="auto"/>
        </w:rPr>
        <w:t>Fundamental Change Repurchase Price</w:t>
      </w:r>
      <w:r>
        <w:rPr>
          <w:rFonts w:ascii="Times New Roman" w:cs="Times New Roman" w:eastAsia="Times New Roman" w:hAnsi="Times New Roman"/>
          <w:sz w:val="17"/>
          <w:szCs w:val="17"/>
          <w:color w:val="auto"/>
        </w:rPr>
        <w:t>”), unless the Fundamental Change Repurchase Date falls after a Special Interest Record Date but on or prior to the Special Interest Payment Date to which such Special Interest Record Date relates, in which case the Company shall instead pay the full amount of any accrued and unpaid Special Interest (to, but excluding, such Special Interest Payment Date) to Holders of record as of such Special Interest Record Date, and the Fundamental Change Repurchase Price shall be equal to 100% of the</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principal amount of Notes to be repurchased pursuant to this Article 15;‎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‎Section 15.02 and such third party purchases all Notes properly surrendered and not validly withdrawn under its offer in the same manner, at the same time and otherwise in compliance with the requirements for an offer made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set forth in this Section 15‎.02.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Repurchases of Notes under this Section 15‎.02 shall be made, at the option of the Holder thereof,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972"/>
        <w:spacing w:after="0" w:line="250" w:lineRule="auto"/>
        <w:rPr>
          <w:sz w:val="20"/>
          <w:szCs w:val="20"/>
          <w:color w:val="auto"/>
        </w:rPr>
      </w:pPr>
      <w:r>
        <w:rPr>
          <w:rFonts w:ascii="Times New Roman" w:cs="Times New Roman" w:eastAsia="Times New Roman" w:hAnsi="Times New Roman"/>
          <w:sz w:val="18"/>
          <w:szCs w:val="18"/>
          <w:color w:val="auto"/>
        </w:rPr>
        <w:t>(i)            delivery to the Paying Agent or tender agent appointed to facilitate the repurchase (the “</w:t>
      </w:r>
      <w:r>
        <w:rPr>
          <w:rFonts w:ascii="Times New Roman" w:cs="Times New Roman" w:eastAsia="Times New Roman" w:hAnsi="Times New Roman"/>
          <w:sz w:val="18"/>
          <w:szCs w:val="18"/>
          <w:b w:val="1"/>
          <w:bCs w:val="1"/>
          <w:color w:val="auto"/>
        </w:rPr>
        <w:t>Tender Agent</w:t>
      </w:r>
      <w:r>
        <w:rPr>
          <w:rFonts w:ascii="Times New Roman" w:cs="Times New Roman" w:eastAsia="Times New Roman" w:hAnsi="Times New Roman"/>
          <w:sz w:val="18"/>
          <w:szCs w:val="18"/>
          <w:color w:val="auto"/>
        </w:rPr>
        <w:t>”) by a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972"/>
        <w:spacing w:after="0" w:line="250" w:lineRule="auto"/>
        <w:rPr>
          <w:sz w:val="20"/>
          <w:szCs w:val="20"/>
          <w:color w:val="auto"/>
        </w:rPr>
      </w:pPr>
      <w:r>
        <w:rPr>
          <w:rFonts w:ascii="Times New Roman" w:cs="Times New Roman" w:eastAsia="Times New Roman" w:hAnsi="Times New Roman"/>
          <w:sz w:val="18"/>
          <w:szCs w:val="18"/>
          <w:color w:val="auto"/>
        </w:rPr>
        <w:t>(ii)            delivery of the Notes, if the Notes are Physical Notes, to the Paying Agent or Tender Agent, as the case may be, at any time after delivery of the Fundamental Change Repurchase Notice (together with all necessary endorsements for transfer) at the Corporate Trust Office of the Paying Agent or the principal office of the Tender Agent located in the United States of America as notified by the Tender Agent to Holders and the Trustee, as applicable, or book-entry transfer of the Notes, if the Notes are Global Notes, in compliance with the procedures of the Depositary, in each case such delivery being a condition to receipt by the Holder of the Fundamental Change Repurchase Price therefor.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Notes to be repurchased shall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in the case of Physical Notes, the certificate numbers of the Notes to be delivered for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            the portion of the principal amount of Notes to be repurchased, which must be $1,000 or an integral multiple in excess thereof;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that the Notes are to be repurchased by the Company pursuant to the applicable provisions of the Notes and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Fundamental Change Repurchase Notice must comply with appropriate Depositary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40" w:firstLine="648"/>
        <w:spacing w:after="0" w:line="265" w:lineRule="auto"/>
        <w:rPr>
          <w:sz w:val="20"/>
          <w:szCs w:val="20"/>
          <w:color w:val="auto"/>
        </w:rPr>
      </w:pPr>
      <w:r>
        <w:rPr>
          <w:rFonts w:ascii="Times New Roman" w:cs="Times New Roman" w:eastAsia="Times New Roman" w:hAnsi="Times New Roman"/>
          <w:sz w:val="17"/>
          <w:szCs w:val="17"/>
          <w:color w:val="auto"/>
        </w:rPr>
        <w:t>Notwithstanding anything herein to the contrary, any Holder delivering to the Paying Agent or Tender Agent, as the case may be,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w:t>
      </w:r>
    </w:p>
    <w:p>
      <w:pPr>
        <w:spacing w:after="0"/>
        <w:rPr>
          <w:sz w:val="20"/>
          <w:szCs w:val="20"/>
          <w:color w:val="auto"/>
        </w:rPr>
      </w:pPr>
      <w:r>
        <w:rPr>
          <w:rFonts w:ascii="Times New Roman" w:cs="Times New Roman" w:eastAsia="Times New Roman" w:hAnsi="Times New Roman"/>
          <w:sz w:val="18"/>
          <w:szCs w:val="18"/>
          <w:color w:val="auto"/>
        </w:rPr>
        <w:t>written notice of withdrawal to the Paying Agent or Tender Agent, as the case may be, in accordance with Section 15‎.03, or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procedures of the Depository with respect to Global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Paying Agent or Tender Agent, as the case may be, shall promptly notify the Company of the receipt by it of any Fundamental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Notice or written notice of withdrawal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(c)            On or before the 20th Business Day after the occurrence of the effective date of a Fundamental Change, the Company shall provide to all Holders of Notes and the Trustee, the Conversion Agent (in the case of a Conversion Agent other than the Trustee) and the Paying Agent (in the case of a Paying Agent other than the Trustee) a notice (the “</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a notice containing the information set forth in the Fundamental Change Company Notice on the Company’s website or through such other public medium as the Company may use at that time. Each Fundamental Change Company Notice shall specify:  </w:t>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the events causing the Fundamental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the effective date of the Fundamental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the last date on which a Holder may exercise the repurchase right pursuant to this Article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(iv)            the Fundamental Change Repurchase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            the Fundamental Change Repurchase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            the name and address of the Paying Agent or Tender Agent, as the case may be, and the Conversion Agent, if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            if applicable, the Conversion Rate and any adjustments to the Conversion Rate as a result of the Fundamental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40" w:firstLine="972"/>
        <w:spacing w:after="0" w:line="265" w:lineRule="auto"/>
        <w:rPr>
          <w:sz w:val="20"/>
          <w:szCs w:val="20"/>
          <w:color w:val="auto"/>
        </w:rPr>
      </w:pPr>
      <w:r>
        <w:rPr>
          <w:rFonts w:ascii="Times New Roman" w:cs="Times New Roman" w:eastAsia="Times New Roman" w:hAnsi="Times New Roman"/>
          <w:sz w:val="17"/>
          <w:szCs w:val="17"/>
          <w:color w:val="auto"/>
        </w:rPr>
        <w:t>(viii)            that the Notes with respect to which a Fundamental Change Repurchase Notice has been delivered by a Holder may be converted only if the Holder validly withdraws the Fundamental Change Repurchase Notice in accordance with the terms of this Indenture; and</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(ix)            the procedures that Holders must follow to require the Company to repurchase their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failure of the Company to give the foregoing notices and no defect therein shall limit the Holders’ repurchase rights or affect the validity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for the repurchase of the Notes pursuant to this Section 15‎.02.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At the Company’s request, given at least five days prior to the date the Fundamental Change Company Notice is to be sent (or such shorter period as may be agreed to by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Notwithstanding the foregoing, no Notes may be repurchased by the Company on any date at the option of the Holders upon a Fundamental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if the principal amount of the Notes has been accelerated, and such acceleration has not been rescinded, on or prior to such date (except in the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acceleration resulting from a Default by the Company in the payment of the Fundamental Change Repurchase Price with respect to such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 or Tender Agent, as the case may be, will promptly return to the respective Holders thereof any Physical Notes held by it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of the Notes (except in the case of an acceleration resulting from a Default by the Company in the payment of the Fundamental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Price with respect to such Notes), or any instructions for book-entry transfer of the Notes in compliance with the procedures of the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deemed to have been cancelled, and, upon such return or cancellation, as the case may be, the Fundamental Change Repurchase Notice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thereto shall be deemed to have been withdrawn.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15.03</w:t>
      </w:r>
      <w:r>
        <w:rPr>
          <w:rFonts w:ascii="Times New Roman" w:cs="Times New Roman" w:eastAsia="Times New Roman" w:hAnsi="Times New Roman"/>
          <w:sz w:val="18"/>
          <w:szCs w:val="18"/>
          <w:i w:val="1"/>
          <w:iCs w:val="1"/>
          <w:color w:val="auto"/>
        </w:rPr>
        <w:t>. Withdrawal of Fundamental Change Repurchase Notice.</w:t>
      </w:r>
      <w:r>
        <w:rPr>
          <w:rFonts w:ascii="Times New Roman" w:cs="Times New Roman" w:eastAsia="Times New Roman" w:hAnsi="Times New Roman"/>
          <w:sz w:val="18"/>
          <w:szCs w:val="18"/>
          <w:color w:val="auto"/>
        </w:rPr>
        <w:t xml:space="preserve"> A Fundamental Change Repurchase Notice may be withdrawn (in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part) by means of a written notice of withdrawal received by the Corporate Trust Office of the Paying Agent or the principal office of the Tender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located in the United States of America as notified by the Tender Agent to Holders and the Trustee, as the case may be, in accordance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15‎.03 at any time prior to the close of business on the Business Day immediately preceding the Fundamental Change Repurchase Date, specifying: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the principal amount of the Notes with respect to which such notice of withdrawal is being submitted,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40" w:firstLine="972"/>
        <w:spacing w:after="0" w:line="250" w:lineRule="auto"/>
        <w:rPr>
          <w:sz w:val="20"/>
          <w:szCs w:val="20"/>
          <w:color w:val="auto"/>
        </w:rPr>
      </w:pPr>
      <w:r>
        <w:rPr>
          <w:rFonts w:ascii="Times New Roman" w:cs="Times New Roman" w:eastAsia="Times New Roman" w:hAnsi="Times New Roman"/>
          <w:sz w:val="18"/>
          <w:szCs w:val="18"/>
          <w:color w:val="auto"/>
        </w:rPr>
        <w:t>(ii)            if Physical Notes have been issued, the certificate number of the Note in respect of which such notice of withdrawal is being submitted,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972"/>
        <w:spacing w:after="0" w:line="250" w:lineRule="auto"/>
        <w:rPr>
          <w:sz w:val="20"/>
          <w:szCs w:val="20"/>
          <w:color w:val="auto"/>
        </w:rPr>
      </w:pPr>
      <w:r>
        <w:rPr>
          <w:rFonts w:ascii="Times New Roman" w:cs="Times New Roman" w:eastAsia="Times New Roman" w:hAnsi="Times New Roman"/>
          <w:sz w:val="18"/>
          <w:szCs w:val="18"/>
          <w:color w:val="auto"/>
        </w:rPr>
        <w:t>(iii)            the principal amount, if any, of such Note that remains subject to the original Fundamental Change Repurchase Notice, which portion must be in principal amounts of $1,000 or an integral multiple of $1,000;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notice must comply with appropriate procedures of the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17"/>
          <w:szCs w:val="17"/>
          <w:color w:val="auto"/>
        </w:rPr>
        <w:t>Section 15.04</w:t>
      </w:r>
      <w:r>
        <w:rPr>
          <w:rFonts w:ascii="Times New Roman" w:cs="Times New Roman" w:eastAsia="Times New Roman" w:hAnsi="Times New Roman"/>
          <w:sz w:val="17"/>
          <w:szCs w:val="17"/>
          <w:i w:val="1"/>
          <w:iCs w:val="1"/>
          <w:color w:val="auto"/>
        </w:rPr>
        <w:t>. Deposit of Fundamental Change Repurchase Price.</w:t>
      </w:r>
      <w:r>
        <w:rPr>
          <w:rFonts w:ascii="Times New Roman" w:cs="Times New Roman" w:eastAsia="Times New Roman" w:hAnsi="Times New Roman"/>
          <w:sz w:val="17"/>
          <w:szCs w:val="17"/>
          <w:color w:val="auto"/>
        </w:rPr>
        <w:t xml:space="preserve"> (a)  The Company will deposit with the Trustee (or other Paying Agent or Tender Agent, as the case may be, appointed by the Company, or if the Company is acting as its own Paying Agent, set aside, segregate and hold in trust as</w:t>
      </w:r>
    </w:p>
    <w:p>
      <w:pPr>
        <w:ind w:right="120"/>
        <w:spacing w:after="0" w:line="265" w:lineRule="auto"/>
        <w:rPr>
          <w:sz w:val="20"/>
          <w:szCs w:val="20"/>
          <w:color w:val="auto"/>
        </w:rPr>
      </w:pPr>
      <w:r>
        <w:rPr>
          <w:rFonts w:ascii="Times New Roman" w:cs="Times New Roman" w:eastAsia="Times New Roman" w:hAnsi="Times New Roman"/>
          <w:sz w:val="17"/>
          <w:szCs w:val="17"/>
          <w:color w:val="auto"/>
        </w:rPr>
        <w:t>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or Tender Agent, as the case may be, appointed by the Company), payment for Notes surrendered for repurchase (and not withdrawn prior to the close of business on the Business Day immediately preceding the Fundamental Change Repurchase Date) will be made on the later of (i) the Fundamental Change Repurchase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the Holder has satisfied the conditions in ‎Section 15.02) and (ii) the time of book-entry transfer or the delivery of such Note to the Trustee (or other Paying Agent or Tender Agent, as the case may be, appointed by the Company) by the Holder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manner required by Section 15‎.02 by mailing checks for the amount payable to the Holders of such Notes entitled thereto as they shall appear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to the Depositary shall be made by wire transfer of immediately available funds to the account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or its nominee. The Paying Agent or Tender Agent shall, promptly after such payment and upon written demand by the Company, return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any funds in excess of the Fundamental Change Repurchase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If by 11:00 a.m. New York City time, on the Fundamental Change Repurchase Date, the Trustee (or other Paying Agent or Tender Agent,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may be, appointed by the Company) holds money sufficient to make payment on all the Notes or portions thereof that are to be repurchased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Fundamental Change Repurchase Date, then, with respect to the Notes that have been properly surrendered for repurchase and have not been validly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withdrawn, (i) such Notes will cease to be outstanding, (ii) Special Interest, if any, will cease to accrue on such Notes (whether or not book-entry transfer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has been made or the Notes have been delivered to the Trustee, Paying Agent or Tender Agent, as the case may be) and (iii) all other rights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such Notes will terminate (other than the right to receive the Fundamental Change Repurchase Price and, if applicable, any accrued and unpaid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Upon surrender of a Note that is to be repurchased in part pursuant to Section 15‎.02, the Company shall execute and the Trustee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authenticate and deliver to the Holder a new Note in an authorized denomination equal in principal amount to the unrepurchased portion of the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the Company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comply with the provisions of Rule 13e-4, Rule 14e-1 and any other tender offer rules under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file a Schedule TO or any other required schedule under the Exchange Act;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otherwise comply with all federal and state securities laws in connection with any offer by the Company to repurchase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each case, so as to permit the rights and obligations under this ‎Article 15 to be exercised in the time and in the manner specified in this ‎Article 15. To the extent that the provisions of any applicable securities laws or regulations enacted after the date of this Indenture conflict with the provisions of this Indenture relating to the Company’s obligations to repurchase the Notes upon a Fundamental Change, the Company shall comply with the applicable securities laws and regulations and shall not be deemed to have breached its obligations under such provisions of this Indenture by virtue of such conflict.  </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16</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16.01. </w:t>
      </w:r>
      <w:r>
        <w:rPr>
          <w:rFonts w:ascii="Times New Roman" w:cs="Times New Roman" w:eastAsia="Times New Roman" w:hAnsi="Times New Roman"/>
          <w:sz w:val="17"/>
          <w:szCs w:val="17"/>
          <w:i w:val="1"/>
          <w:iCs w:val="1"/>
          <w:color w:val="auto"/>
        </w:rPr>
        <w:t>Optional Redemption</w:t>
      </w:r>
      <w:r>
        <w:rPr>
          <w:rFonts w:ascii="Times New Roman" w:cs="Times New Roman" w:eastAsia="Times New Roman" w:hAnsi="Times New Roman"/>
          <w:sz w:val="17"/>
          <w:szCs w:val="17"/>
          <w:color w:val="auto"/>
        </w:rPr>
        <w:t>. No sinking fund is provided for the Notes. The Notes shall not be redeemable by the Company prior to June 20, 2029. On or after June 20, 2029, the Company may redeem (an “</w:t>
      </w:r>
      <w:r>
        <w:rPr>
          <w:rFonts w:ascii="Times New Roman" w:cs="Times New Roman" w:eastAsia="Times New Roman" w:hAnsi="Times New Roman"/>
          <w:sz w:val="17"/>
          <w:szCs w:val="17"/>
          <w:b w:val="1"/>
          <w:bCs w:val="1"/>
          <w:color w:val="auto"/>
        </w:rPr>
        <w:t>Optional Redemption</w:t>
      </w:r>
      <w:r>
        <w:rPr>
          <w:rFonts w:ascii="Times New Roman" w:cs="Times New Roman" w:eastAsia="Times New Roman" w:hAnsi="Times New Roman"/>
          <w:sz w:val="17"/>
          <w:szCs w:val="17"/>
          <w:color w:val="auto"/>
        </w:rPr>
        <w:t>”) for cash all or any portion of the Notes,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including, the Trading Day immediately preceding the date on which the Company provides the Redemption Notice in accordance with Section 16‎.02. The Trustee shall have no liability or responsibility for determining whether the conditions to redemption have been met.  </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Notice of Optional Redemption; Selection of Notes</w:t>
      </w:r>
      <w:r>
        <w:rPr>
          <w:rFonts w:ascii="Times New Roman" w:cs="Times New Roman" w:eastAsia="Times New Roman" w:hAnsi="Times New Roman"/>
          <w:sz w:val="18"/>
          <w:szCs w:val="18"/>
          <w:color w:val="auto"/>
        </w:rPr>
        <w:t>. (a)  In case the Company exercises its Optional Redemption right to redeem all</w:t>
      </w:r>
    </w:p>
    <w:p>
      <w:pPr>
        <w:spacing w:after="0" w:line="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or, as the case may be, any part of the Notes pursuant to Section 16‎.01, it shall fix a date for redemption (each,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it or, at its written request received by the Trustee not less than five days prior to the date the Redemption Notice is to be sent to Holders (or such shorter period of time as may be acceptable to the Trustee), the Trustee, in the name of and at the expense of the Company, shall deliver or cause to be delivered a written notice of such Optional 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not less than 30 nor more than 50 Scheduled Trading Days prior to the Redemption Date by mail or electronic transmission to each Holder of Notes so to be redeemed as a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shall give such notice, it shall also give written notice of the Redemption Date to the Trustee, the Paying Agent and the Conversion Agent (if other than the Trustee). The Redemption Date must be a Business Day, and the Company shall not specify a Redemption Date that falls on or after the 26th Scheduled Trading Day immediately preceding the Maturity Date. The Trustee is permitted to accept the Company’s direction regarding redemptions, notwithstanding anything to the contrary in this Indenture, and the Trustee shall have no liability for any action taken at the Company’s direction.  </w:t>
      </w:r>
    </w:p>
    <w:p>
      <w:pPr>
        <w:spacing w:after="0" w:line="21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            The Redemption Notice, if delivered in the manner herein provided, shall be conclusively presumed to have been duly given, whether or not the Holder receives such notice. In any case, failure to give such Redemption Notice or any defect in the Redemption Notice to the Holder of any Note designated for redemption as a whole or in part shall not affect the validity of the proceedings for the redemption of any other Note.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Each Redemption Notice shall specify: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the Redemption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20" w:firstLine="972"/>
        <w:spacing w:after="0" w:line="250" w:lineRule="auto"/>
        <w:rPr>
          <w:sz w:val="20"/>
          <w:szCs w:val="20"/>
          <w:color w:val="auto"/>
        </w:rPr>
      </w:pPr>
      <w:r>
        <w:rPr>
          <w:rFonts w:ascii="Times New Roman" w:cs="Times New Roman" w:eastAsia="Times New Roman" w:hAnsi="Times New Roman"/>
          <w:sz w:val="18"/>
          <w:szCs w:val="18"/>
          <w:color w:val="auto"/>
        </w:rPr>
        <w:t>(iii)            that on the Redemption Date, the Redemption Price will become due and payable upon each Note to be redeemed, and that interest thereon, if any, shall cease to accrue on and after the Redemption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(iv)            the place or places where such Notes are to be surrendered for payment of the Redemption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60" w:firstLine="972"/>
        <w:spacing w:after="0" w:line="250" w:lineRule="auto"/>
        <w:rPr>
          <w:sz w:val="20"/>
          <w:szCs w:val="20"/>
          <w:color w:val="auto"/>
        </w:rPr>
      </w:pPr>
      <w:r>
        <w:rPr>
          <w:rFonts w:ascii="Times New Roman" w:cs="Times New Roman" w:eastAsia="Times New Roman" w:hAnsi="Times New Roman"/>
          <w:sz w:val="18"/>
          <w:szCs w:val="18"/>
          <w:color w:val="auto"/>
        </w:rPr>
        <w:t>(v)            that Holders may surrender their Notes for conversion at any time prior to the close of business on the second Scheduled Trading Day immediately preceding the Redemption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640" w:firstLine="972"/>
        <w:spacing w:after="0" w:line="250" w:lineRule="auto"/>
        <w:rPr>
          <w:sz w:val="20"/>
          <w:szCs w:val="20"/>
          <w:color w:val="auto"/>
        </w:rPr>
      </w:pPr>
      <w:r>
        <w:rPr>
          <w:rFonts w:ascii="Times New Roman" w:cs="Times New Roman" w:eastAsia="Times New Roman" w:hAnsi="Times New Roman"/>
          <w:sz w:val="18"/>
          <w:szCs w:val="18"/>
          <w:color w:val="auto"/>
        </w:rPr>
        <w:t>(vi)            the procedures a converting Holder must follow to convert its Notes and the Settlement Method and Specified Dollar Amount, if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            the Conversion Rate and, if applicable, the number of Additional Shares added to the Conversion Rate in accordance with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(viii)            the CUSIP, ISIN or other similar numbers, if any, assigned to such Notes;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80" w:firstLine="972"/>
        <w:spacing w:after="0" w:line="265" w:lineRule="auto"/>
        <w:rPr>
          <w:sz w:val="20"/>
          <w:szCs w:val="20"/>
          <w:color w:val="auto"/>
        </w:rPr>
      </w:pPr>
      <w:r>
        <w:rPr>
          <w:rFonts w:ascii="Times New Roman" w:cs="Times New Roman" w:eastAsia="Times New Roman" w:hAnsi="Times New Roman"/>
          <w:sz w:val="17"/>
          <w:szCs w:val="17"/>
          <w:color w:val="auto"/>
        </w:rPr>
        <w:t>(ix)            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Redemption Notice shall be irrevocable.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If fewer than all of the outstanding Notes are to be redeemed and the Notes to be redeemed are Global Notes then held by the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be redeemed shall be selected by the Depositary in accordance with applicable procedures of the Depositary. If fewer than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Notes are to be redeemed and the Notes to be redeemed are not Global Notes then held by the Depositary, the Trustee shall select the Notes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portions thereof to be redeemed (in minimum principal amounts of $1,000 or multiples of $1,000 in excess thereof) by lot,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by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Trustee considers to be fair and appropriate, subject to the Depositary’s procedures. If any Note selected for partial redemption is submitted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in part after such selection, the portion of the Note submitted for conversion shall be deemed (so far as may be possible) to be the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for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i w:val="1"/>
          <w:iCs w:val="1"/>
          <w:color w:val="auto"/>
        </w:rPr>
        <w:t>Payment of Notes Called for Redemption</w:t>
      </w:r>
      <w:r>
        <w:rPr>
          <w:rFonts w:ascii="Times New Roman" w:cs="Times New Roman" w:eastAsia="Times New Roman" w:hAnsi="Times New Roman"/>
          <w:sz w:val="18"/>
          <w:szCs w:val="18"/>
          <w:color w:val="auto"/>
        </w:rPr>
        <w:t>. (a)  If any Redemption Notice has been given in respect of the Notes in accordance with ‎Section 16.02,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Prior to the open of business on the Redemption Date, the Company shall deposit with the Paying Agent or, if the Company or a Subsidiary</w:t>
      </w:r>
    </w:p>
    <w:p>
      <w:pPr>
        <w:spacing w:after="0" w:line="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Restrictions on Redemption</w:t>
      </w:r>
      <w:r>
        <w:rPr>
          <w:rFonts w:ascii="Times New Roman" w:cs="Times New Roman" w:eastAsia="Times New Roman" w:hAnsi="Times New Roman"/>
          <w:sz w:val="18"/>
          <w:szCs w:val="18"/>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r>
        <w:rPr>
          <w:rFonts w:ascii="Times New Roman" w:cs="Times New Roman" w:eastAsia="Times New Roman" w:hAnsi="Times New Roman"/>
          <w:sz w:val="18"/>
          <w:szCs w:val="18"/>
          <w:color w:val="auto"/>
        </w:rPr>
        <w:t xml:space="preserve"> All the covenants, stipulations, promises and agreements of the Company contained in this Indenture shall bind its successors and assigns whether so expressed or not.  </w:t>
      </w:r>
    </w:p>
    <w:p>
      <w:pPr>
        <w:spacing w:after="0" w:line="20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Section 17.02</w:t>
      </w:r>
      <w:r>
        <w:rPr>
          <w:rFonts w:ascii="Times New Roman" w:cs="Times New Roman" w:eastAsia="Times New Roman" w:hAnsi="Times New Roman"/>
          <w:sz w:val="18"/>
          <w:szCs w:val="18"/>
          <w:i w:val="1"/>
          <w:iCs w:val="1"/>
          <w:color w:val="auto"/>
        </w:rPr>
        <w:t>. Official Acts by Successor Corporation.</w:t>
      </w:r>
      <w:r>
        <w:rPr>
          <w:rFonts w:ascii="Times New Roman" w:cs="Times New Roman" w:eastAsia="Times New Roman" w:hAnsi="Times New Roman"/>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  </w:t>
      </w:r>
    </w:p>
    <w:p>
      <w:pPr>
        <w:spacing w:after="0" w:line="2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r>
        <w:rPr>
          <w:rFonts w:ascii="Times New Roman" w:cs="Times New Roman" w:eastAsia="Times New Roman" w:hAnsi="Times New Roman"/>
          <w:sz w:val="18"/>
          <w:szCs w:val="18"/>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or overnight courier service addressed (until another address is filed by the Company with the Trustee) to PTC Therapeutics, Inc., 500 Warren Corporate Center Drive, Warren, N.J. 07059. Any notice, direction, request or demand hereunder to or upon the Trustee shall be deemed to have been sufficiently given or made, for all purposes, if given or served by being deposited postage prepaid by registered or certified mail in a post office letter box, electronic transmission or overnight delivery addressed to the Corporate Trust Office, whether sent by mail or electronically, upon actual receipt by the Trustee.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  </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r>
        <w:rPr>
          <w:rFonts w:ascii="Times New Roman" w:cs="Times New Roman" w:eastAsia="Times New Roman" w:hAnsi="Times New Roman"/>
          <w:sz w:val="18"/>
          <w:szCs w:val="18"/>
          <w:color w:val="auto"/>
        </w:rPr>
        <w:t xml:space="preserve"> THIS INDENTURE AND EACH NOTE, AND ANY CLAIM, CONTROVERSY OR DISPUTE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ARISING UNDER OR RELATED TO THIS INDENTURE AND EACH NOTE, SHALL BE GOVERNED BY, AND CONSTRUED IN ACCORDANCE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to the extent permitted by applicable law,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extent permitted by applicable law, to the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to the extent permitted by applicable law, with respect to any action, suit or proceeding for itself in respect of its properties, assets and revenues.  </w:t>
      </w:r>
    </w:p>
    <w:p>
      <w:pPr>
        <w:spacing w:after="0" w:line="208"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The Company irrevocably and unconditionally waives, to the extent permitted by applicable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to the extent permitted by applicable law, not to plead or claim in any such court that any such action, suit or proceeding brought in any such court has been brought in an inconvenient forum.  </w:t>
      </w:r>
    </w:p>
    <w:p>
      <w:pPr>
        <w:spacing w:after="0" w:line="20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r>
        <w:rPr>
          <w:rFonts w:ascii="Times New Roman" w:cs="Times New Roman" w:eastAsia="Times New Roman" w:hAnsi="Times New Roman"/>
          <w:sz w:val="18"/>
          <w:szCs w:val="18"/>
          <w:color w:val="auto"/>
        </w:rPr>
        <w:t xml:space="preserve"> Upon any application or demand by the Company to the Trustee to take any action under any of the provisions of this Indenture, the Company shall, if requested by the Trustee, furnish to the Trustee an Officers’ Certificate and an Opinion of Counsel, stating that such action is permitted by the terms of this Indenture and that all conditions precedent to such action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Opinion of Counsel shall not be required in connection with (1) the issuance of the Notes on the original issue date of the Notes, (2) the mandatory exchange of the restricted CUSIP of the Notes to an unrestricted CUSIP pursuant to the applicable procedures of the Depositary upon the Notes becoming freely tradable by non-Affiliates of the Company under Rule 144,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Each Officers’ Certificate and Opinion of Counsel provided for, by or on behalf of the Company in this Indenture and delivered to the Trustee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compliance with this Indenture (other than the Officers’ Certificates provided for in Section 4‎.08) shall include (a) a statement that the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signing such certificate is familiar with the requested action and this Indenture; (b) a brief statement as to the nature and scope of the examination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investigation upon which the statement contained in such certificate is based; (c) a statement that, in the opinion of such person, he or she has made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examination or investigation as is necessary to enable him or her to express an informed opinion as to whether or not such action is permitted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(d) a statement as to whether or not, in the opinion of such person, such action is permitted by this Indenture and all conditions precedent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action have been complied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Section 17.06</w:t>
      </w:r>
      <w:r>
        <w:rPr>
          <w:rFonts w:ascii="Times New Roman" w:cs="Times New Roman" w:eastAsia="Times New Roman" w:hAnsi="Times New Roman"/>
          <w:sz w:val="18"/>
          <w:szCs w:val="18"/>
          <w:i w:val="1"/>
          <w:iCs w:val="1"/>
          <w:color w:val="auto"/>
        </w:rPr>
        <w:t>. Legal Holidays.</w:t>
      </w:r>
      <w:r>
        <w:rPr>
          <w:rFonts w:ascii="Times New Roman" w:cs="Times New Roman" w:eastAsia="Times New Roman" w:hAnsi="Times New Roman"/>
          <w:sz w:val="18"/>
          <w:szCs w:val="18"/>
          <w:color w:val="auto"/>
        </w:rPr>
        <w:t xml:space="preserve"> In any case where any Special Interest Payment Date, any Fundamental Change Repurchase Date, Redemption Date or the Maturity Date is not a Business Day or is a day on which banks located in the location of the Corporate Trust Office are authorized or required by law or executive order to close or be closed, then any action to be taken on such date need not be taken on such date, but may be taken on the next succeeding Business Day that is not a day on which banks located in the location of the Corporate Trust Office are authorized or required by law or executive order to close or be closed with the same force and effect as if taken on such date, and no interest shall accrue in respect of the delay.  </w:t>
      </w:r>
    </w:p>
    <w:p>
      <w:pPr>
        <w:spacing w:after="0" w:line="205" w:lineRule="exact"/>
        <w:rPr>
          <w:sz w:val="20"/>
          <w:szCs w:val="20"/>
          <w:color w:val="auto"/>
        </w:rPr>
      </w:pPr>
    </w:p>
    <w:p>
      <w:pPr>
        <w:ind w:right="440" w:firstLine="648"/>
        <w:spacing w:after="0" w:line="260" w:lineRule="auto"/>
        <w:rPr>
          <w:sz w:val="20"/>
          <w:szCs w:val="20"/>
          <w:color w:val="auto"/>
        </w:rPr>
      </w:pPr>
      <w:r>
        <w:rPr>
          <w:rFonts w:ascii="Times New Roman" w:cs="Times New Roman" w:eastAsia="Times New Roman" w:hAnsi="Times New Roman"/>
          <w:sz w:val="18"/>
          <w:szCs w:val="18"/>
          <w:color w:val="auto"/>
        </w:rPr>
        <w:t>Section 17.07</w:t>
      </w:r>
      <w:r>
        <w:rPr>
          <w:rFonts w:ascii="Times New Roman" w:cs="Times New Roman" w:eastAsia="Times New Roman" w:hAnsi="Times New Roman"/>
          <w:sz w:val="18"/>
          <w:szCs w:val="18"/>
          <w:i w:val="1"/>
          <w:iCs w:val="1"/>
          <w:color w:val="auto"/>
        </w:rPr>
        <w:t>. No Security Interest Created.</w:t>
      </w:r>
      <w:r>
        <w:rPr>
          <w:rFonts w:ascii="Times New Roman" w:cs="Times New Roman" w:eastAsia="Times New Roman" w:hAnsi="Times New Roman"/>
          <w:sz w:val="18"/>
          <w:szCs w:val="18"/>
          <w:color w:val="auto"/>
        </w:rPr>
        <w:t xml:space="preserve"> Nothing in this Indenture or in the Notes, expressed or implied, shall be construed to constitute a security interest under the Uniform Commercial Code or similar legislation, as now or hereafter enacted and in effect, in any jurisdiction.  </w:t>
      </w:r>
    </w:p>
    <w:p>
      <w:pPr>
        <w:spacing w:after="0" w:line="200" w:lineRule="exact"/>
        <w:rPr>
          <w:sz w:val="20"/>
          <w:szCs w:val="20"/>
          <w:color w:val="auto"/>
        </w:rPr>
      </w:pPr>
    </w:p>
    <w:p>
      <w:pPr>
        <w:ind w:right="360" w:firstLine="648"/>
        <w:spacing w:after="0" w:line="255" w:lineRule="auto"/>
        <w:rPr>
          <w:sz w:val="20"/>
          <w:szCs w:val="20"/>
          <w:color w:val="auto"/>
        </w:rPr>
      </w:pPr>
      <w:r>
        <w:rPr>
          <w:rFonts w:ascii="Times New Roman" w:cs="Times New Roman" w:eastAsia="Times New Roman" w:hAnsi="Times New Roman"/>
          <w:sz w:val="18"/>
          <w:szCs w:val="18"/>
          <w:color w:val="auto"/>
        </w:rPr>
        <w:t>Section 17.08</w:t>
      </w:r>
      <w:r>
        <w:rPr>
          <w:rFonts w:ascii="Times New Roman" w:cs="Times New Roman" w:eastAsia="Times New Roman" w:hAnsi="Times New Roman"/>
          <w:sz w:val="18"/>
          <w:szCs w:val="18"/>
          <w:i w:val="1"/>
          <w:iCs w:val="1"/>
          <w:color w:val="auto"/>
        </w:rPr>
        <w:t>. Benefits of Indenture.</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17.09</w:t>
      </w:r>
      <w:r>
        <w:rPr>
          <w:rFonts w:ascii="Times New Roman" w:cs="Times New Roman" w:eastAsia="Times New Roman" w:hAnsi="Times New Roman"/>
          <w:sz w:val="17"/>
          <w:szCs w:val="17"/>
          <w:i w:val="1"/>
          <w:iCs w:val="1"/>
          <w:color w:val="auto"/>
        </w:rPr>
        <w:t>. Table of Contents, Headings, Etc.</w:t>
      </w:r>
      <w:r>
        <w:rPr>
          <w:rFonts w:ascii="Times New Roman" w:cs="Times New Roman" w:eastAsia="Times New Roman" w:hAnsi="Times New Roman"/>
          <w:sz w:val="17"/>
          <w:szCs w:val="17"/>
          <w:color w:val="auto"/>
        </w:rPr>
        <w:t xml:space="preserve"> The table of contents and the titles and headings of the articles and sections of this Indenture have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inserted for convenience of reference only, are not to be considered a part hereof, and shall in no way modify or restrict any of the terms or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 Authenticating Agent.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pursuant to Section 7‎.08.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the corporate trust business of any authenticating agent, shall be the successor of the authenticating agent</w:t>
      </w:r>
    </w:p>
    <w:p>
      <w:pPr>
        <w:ind w:right="180"/>
        <w:spacing w:after="0" w:line="260" w:lineRule="auto"/>
        <w:rPr>
          <w:sz w:val="20"/>
          <w:szCs w:val="20"/>
          <w:color w:val="auto"/>
        </w:rPr>
      </w:pPr>
      <w:r>
        <w:rPr>
          <w:rFonts w:ascii="Times New Roman" w:cs="Times New Roman" w:eastAsia="Times New Roman" w:hAnsi="Times New Roman"/>
          <w:sz w:val="18"/>
          <w:szCs w:val="18"/>
          <w:color w:val="auto"/>
        </w:rPr>
        <w:t>hereunder, if such successor corporation or other entity is otherwise eligible under this Section 17‎.10, without the execution or filing of any paper or any further act on the part of the parties hereto or the authenticating agent or such successor corporation or other entity.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terminate the agency of any authenticating agent by giving written notice of termination to such authenticating agent and to the Company.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such a notice of resignation or upon such a termination, or in case at any time any authenticating agent shall cease to be eligible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the Trustee may appoint a successor authenticating agent (which may be the Trustee), shall give written notice of such appointment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shall deliver notice of such appointment to all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20" w:firstLine="648"/>
        <w:spacing w:after="0" w:line="260"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This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cs="Times New Roman" w:eastAsia="Times New Roman" w:hAnsi="Times New Roman"/>
          <w:sz w:val="18"/>
          <w:szCs w:val="18"/>
          <w:b w:val="1"/>
          <w:bCs w:val="1"/>
          <w:color w:val="auto"/>
        </w:rPr>
        <w:t>Signature Law</w:t>
      </w:r>
      <w:r>
        <w:rPr>
          <w:rFonts w:ascii="Times New Roman" w:cs="Times New Roman" w:eastAsia="Times New Roman" w:hAnsi="Times New Roman"/>
          <w:sz w:val="18"/>
          <w:szCs w:val="18"/>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 All notices, approvals, consents, requests and any communications hereunder must be in writing; provided that any such communication sent to Trustee hereunder must be in the form of a document that is signed manually or by way of a digital signature provided by DocuSign or other electronic signature provider that the Company plans to use (or such other digital signature provider as specified in writing to Trustee by the authorized representative), in English. The Company agrees to assume all risks arising out of the use of digital signatures and electronic methods to submit communications to Trustee, including without limitation the risk of Trustee acting on unauthorized instructions, and the risk of interception and misuse by third parties.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  </w:t>
      </w:r>
    </w:p>
    <w:p>
      <w:pPr>
        <w:spacing w:after="0" w:line="20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17.13</w:t>
      </w:r>
      <w:r>
        <w:rPr>
          <w:rFonts w:ascii="Times New Roman" w:cs="Times New Roman" w:eastAsia="Times New Roman" w:hAnsi="Times New Roman"/>
          <w:sz w:val="18"/>
          <w:szCs w:val="18"/>
          <w:i w:val="1"/>
          <w:iCs w:val="1"/>
          <w:color w:val="auto"/>
        </w:rPr>
        <w:t>. Waiver of Jury Trial.</w:t>
      </w:r>
      <w:r>
        <w:rPr>
          <w:rFonts w:ascii="Times New Roman" w:cs="Times New Roman" w:eastAsia="Times New Roman" w:hAnsi="Times New Roman"/>
          <w:sz w:val="18"/>
          <w:szCs w:val="18"/>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  </w:t>
      </w:r>
    </w:p>
    <w:p>
      <w:pPr>
        <w:spacing w:after="0" w:line="20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 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unavailability of the Federal Reserve Bank wire or telex system or other wire or other funds transfer systems,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 Calculations</w:t>
      </w:r>
      <w:r>
        <w:rPr>
          <w:rFonts w:ascii="Times New Roman" w:cs="Times New Roman" w:eastAsia="Times New Roman" w:hAnsi="Times New Roman"/>
          <w:sz w:val="18"/>
          <w:szCs w:val="18"/>
          <w:color w:val="auto"/>
        </w:rPr>
        <w:t>. The Company shall be responsible for making all calculations called for under this Indenture and the Notes and the Trustee, the Paying Agent, the Conversion Agent, Bid Solicitation Agent (if the Trustee) and the Note Registrar shall have no liability or responsibility for any calculations or any information in connection with such calculations. These calculations include, but are not limited to, determinations of the Redemption Price, Stock Price, the Trading Price of the Notes (for purposes of determining whether the Notes are convertible as described herein), the Last Reported Sale Prices of the Common Stock, the Daily VWAPs, the Daily Conversion Values, the Daily Settlement Amounts, the amount of conversion consideration deliverable in respect of any conversions, accrued Special Interest, if any, payable on the Notes, any Special Interest that may accrue on the Notes and the Conversion Rate and Conversion Price of the Notes (or any adjustments to such Conversion Rate or Conversion Price). The Company shall make all these calculations in good faith and, absent manifest error, the Company’s calculations shall be final and binding on Holders of Notes. The Company shall provide a schedule of its calculations to each of the Trustee, the Paying Agent and the Conversion Agent, and each of the Trustee, the Paying Agent and Conversion Agent is entitled to rely conclusively upon the accuracy of the Company’s calculations without independent verification. The Company will forward or cause the Trustee to forward its calculations to any Holder of Notes upon the written request of that Holder.  </w:t>
      </w:r>
    </w:p>
    <w:p>
      <w:pPr>
        <w:spacing w:after="0" w:line="21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date first written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6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PTC THERAPEUTICS,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Mark E. Boulding</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Mark E. Boulding</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Chief Legal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4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U.S. BANK TRUST COMPANY,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Pr>
          <w:p>
            <w:pPr>
              <w:spacing w:after="0"/>
              <w:rPr>
                <w:sz w:val="18"/>
                <w:szCs w:val="18"/>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NATIONAL ASSOCIATION, as Trustee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By: /s/ Wally Jones</w:t>
            </w:r>
          </w:p>
        </w:tc>
        <w:tc>
          <w:tcPr>
            <w:tcW w:w="0" w:type="dxa"/>
            <w:vAlign w:val="bottom"/>
          </w:tcPr>
          <w:p>
            <w:pPr>
              <w:spacing w:after="0"/>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440" w:type="dxa"/>
            <w:vAlign w:val="bottom"/>
          </w:tcPr>
          <w:p>
            <w:pPr>
              <w:ind w:left="334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Wally Jones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3"/>
            <w:vMerge w:val="restart"/>
          </w:tcPr>
          <w:p>
            <w:pPr>
              <w:ind w:left="2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3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CORPORATION (“DTC”), TO THE COMPANY OR ITS AGENT FOR REGISTRATION OF TRANSFER, EXCHANGE, OR PAYMENT,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CERTIFICATE ISSUED IS REGISTERED IN THE NAME OF CEDE &amp; CO. OR IN SUCH OTHER NAME AS IS REQUESTED BY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OF DTC (AND ANY PAYMENT HEREUNDER IS MADE TO CEDE &amp; CO. OR TO SUCH OTHER ENTITY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REQUESTED BY AN AUTHORIZED REPRESENTATIVE OF DTC), ANY TRANSFER, PLEDGE, OR OTHER USE HEREOF FOR VALUE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BY OR TO ANY PERSON IS WRONGFUL INASMUCH AS THE REGISTERED OWNER HEREOF, CEDE &amp; CO., HAS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UNDER THE SECURITIES ACT OF 1933, AS AMENDED (THE “SECURITIES ACT”) AND MAY NOT BE OFFERED,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PLEDGED OR OTHERWISE TRANSFERRED EXCEPT IN ACCORDANCE WITH THE FOLLOWING SENTENCE. BY ITS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OR OF A BENEFICIAL INTEREST HEREIN, THE ACQUIRER: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 REPRESENTS THAT IT AND ANY ACCOUNT FOR WHICH IT IS ACTING IS A “QUALIFIED INSTITUTIONAL BUYER” (WITHIN THE MEANING OF RULE 144A UNDER THE SECURITIES ACT) AND THAT IT EXERCISES SOLE INVESTMENT DISCRETION WITH RESPECT TO EACH SUCH ACCOUNT,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 AGREES FOR THE BENEFIT OF PTC THERAPEUTICS, INC. (THE “COMPANY”) THAT IT WILL NOT OFFER, SELL, PLEDGE OR OTHERWISE TRANSFER THIS SECURITY OR ANY BENEFICIAL INTEREST HEREIN PRIOR TO THE DATE THAT IS THE LATER OF (X) ONE YEAR AFTER THE LAST DATE OF ORIGINAL ISSUANCE HEREOF OR SUCH SHORTER PERIOD OF TIME AS PERMITTED BY RULE 144 UNDER THE SECURITIES ACT OR ANY SUCCESSOR PROVISION THERETO AND (Y) SUCH LATER DATE, IF ANY, AS MAY BE REQUIRED BY APPLICABLE LAW, EXCEPT: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TO THE COMPANY OR ANY SUBSIDIARY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(B) PURSUANT TO A REGISTRATION STATEMENT THAT HAS BECOME EFFECTIVE UNDER THE SECURITIES ACT,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(C) TO A PERSON REASONABLY BELIEVED TO BE A QUALIFIED INSTITUTIONAL BUYER IN COMPLIANCE WITH RULE 144A UNDER THE SECURITIES ACT,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(D) PURSUANT TO AN EXEMPTION FROM REGISTRATION PROVIDED BY RULE 144 UNDER THE SECURITIES ACT OR ANY OTHER AVAILABLE EXEMPTION FROM THE REGISTRATION REQUIREMENTS OF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w:t>
      </w:r>
    </w:p>
    <w:p>
      <w:pPr>
        <w:spacing w:after="0" w:line="2" w:lineRule="exact"/>
        <w:rPr>
          <w:sz w:val="20"/>
          <w:szCs w:val="20"/>
          <w:color w:val="auto"/>
        </w:rPr>
      </w:pPr>
    </w:p>
    <w:p>
      <w:pPr>
        <w:ind w:right="3460"/>
        <w:spacing w:after="0" w:line="209" w:lineRule="auto"/>
        <w:rPr>
          <w:sz w:val="20"/>
          <w:szCs w:val="20"/>
          <w:color w:val="auto"/>
        </w:rPr>
      </w:pPr>
      <w:r>
        <w:rPr>
          <w:rFonts w:ascii="Times New Roman" w:cs="Times New Roman" w:eastAsia="Times New Roman" w:hAnsi="Times New Roman"/>
          <w:sz w:val="18"/>
          <w:szCs w:val="18"/>
          <w:color w:val="auto"/>
        </w:rPr>
        <w:t>OF ANY EXEMPTION FROM THE REGISTRATION REQUIREMENTS OF THE SECURITIES ACT.]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AFFILIATE (AS DEFINED IN RULE 144 UNDER THE SECURITIES ACT) OF PTC THERAPEUTICS, INC. OR PERSON THAT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AN AFFILIATE (AS DEFINED IN RULE 144 UNDER THE SECURITIES ACT) OF PTC THERAPEUTICS, INC.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THREE MONTHS MAY PURCHASE, OTHERWISE ACQUIRE OR HOLD THIS SECURITY OR A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6" w:lineRule="exact"/>
        <w:rPr>
          <w:sz w:val="20"/>
          <w:szCs w:val="20"/>
          <w:color w:val="auto"/>
        </w:rPr>
      </w:pPr>
    </w:p>
    <w:p>
      <w:pPr>
        <w:ind w:right="40" w:firstLine="8"/>
        <w:spacing w:after="0" w:line="204" w:lineRule="auto"/>
        <w:tabs>
          <w:tab w:leader="none" w:pos="12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This Restricted Security legend shall be deemed removed from the face of this Security without further action of the Company, the Trustee, or the holders of this Security at such time as the Company notifies the Trustee that such legend is removed pursuant to and subject to Section 2.05(c) of the Indenture.</w:t>
      </w: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8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8"/>
              </w:rPr>
              <w:t>PTC THERAPEUTICS, INC.</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7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7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0% Convertible Senior Note due 2031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80" w:type="dxa"/>
            <w:vAlign w:val="bottom"/>
            <w:vMerge w:val="continue"/>
          </w:tcPr>
          <w:p>
            <w:pPr>
              <w:spacing w:after="0"/>
              <w:rPr>
                <w:sz w:val="17"/>
                <w:szCs w:val="17"/>
                <w:color w:val="auto"/>
              </w:rPr>
            </w:pPr>
          </w:p>
        </w:tc>
        <w:tc>
          <w:tcPr>
            <w:tcW w:w="4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  [_____]</w:t>
            </w:r>
          </w:p>
        </w:tc>
        <w:tc>
          <w:tcPr>
            <w:tcW w:w="4780" w:type="dxa"/>
            <w:vAlign w:val="bottom"/>
          </w:tcPr>
          <w:p>
            <w:pPr>
              <w:ind w:left="3980"/>
              <w:spacing w:after="0" w:line="256" w:lineRule="exact"/>
              <w:rPr>
                <w:sz w:val="20"/>
                <w:szCs w:val="20"/>
                <w:color w:val="auto"/>
              </w:rPr>
            </w:pPr>
            <w:r>
              <w:rPr>
                <w:rFonts w:ascii="Times New Roman" w:cs="Times New Roman" w:eastAsia="Times New Roman" w:hAnsi="Times New Roman"/>
                <w:sz w:val="18"/>
                <w:szCs w:val="18"/>
                <w:color w:val="auto"/>
                <w:w w:val="99"/>
              </w:rPr>
              <w:t>[Initially]</w:t>
            </w:r>
            <w:r>
              <w:rPr>
                <w:rFonts w:ascii="Times New Roman" w:cs="Times New Roman" w:eastAsia="Times New Roman" w:hAnsi="Times New Roman"/>
                <w:sz w:val="29"/>
                <w:szCs w:val="29"/>
                <w:color w:val="auto"/>
                <w:w w:val="99"/>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$[_________]</w:t>
            </w:r>
          </w:p>
        </w:tc>
        <w:tc>
          <w:tcPr>
            <w:tcW w:w="0" w:type="dxa"/>
            <w:vAlign w:val="bottom"/>
          </w:tcPr>
          <w:p>
            <w:pPr>
              <w:spacing w:after="0"/>
              <w:rPr>
                <w:sz w:val="1"/>
                <w:szCs w:val="1"/>
                <w:color w:val="auto"/>
              </w:rPr>
            </w:pPr>
          </w:p>
        </w:tc>
      </w:tr>
      <w:tr>
        <w:trPr>
          <w:trHeight w:val="22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88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CUSIP No. [_____]</w:t>
            </w:r>
            <w:r>
              <w:rPr>
                <w:rFonts w:ascii="Times New Roman" w:cs="Times New Roman" w:eastAsia="Times New Roman" w:hAnsi="Times New Roman"/>
                <w:sz w:val="29"/>
                <w:szCs w:val="29"/>
                <w:color w:val="auto"/>
                <w:vertAlign w:val="superscript"/>
              </w:rPr>
              <w:t>3</w:t>
            </w:r>
          </w:p>
        </w:tc>
        <w:tc>
          <w:tcPr>
            <w:tcW w:w="4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240" w:firstLine="648"/>
        <w:spacing w:after="0" w:line="265" w:lineRule="auto"/>
        <w:rPr>
          <w:sz w:val="20"/>
          <w:szCs w:val="20"/>
          <w:color w:val="auto"/>
        </w:rPr>
      </w:pPr>
      <w:r>
        <w:rPr>
          <w:rFonts w:ascii="Times New Roman" w:cs="Times New Roman" w:eastAsia="Times New Roman" w:hAnsi="Times New Roman"/>
          <w:sz w:val="17"/>
          <w:szCs w:val="17"/>
          <w:color w:val="auto"/>
        </w:rPr>
        <w:t>PTC Therapeutics, Inc., a corporation duly organized and validly existing under the laws of the State of Delaware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term includes any successor corporation or other entity under the Indenture referred to on the reverse hereof), for value received hereby promises to pay to</w:t>
      </w:r>
    </w:p>
    <w:p>
      <w:pPr>
        <w:spacing w:after="0" w:line="185" w:lineRule="auto"/>
        <w:rPr>
          <w:sz w:val="20"/>
          <w:szCs w:val="20"/>
          <w:color w:val="auto"/>
        </w:rPr>
      </w:pPr>
      <w:r>
        <w:rPr>
          <w:rFonts w:ascii="Times New Roman" w:cs="Times New Roman" w:eastAsia="Times New Roman" w:hAnsi="Times New Roman"/>
          <w:sz w:val="18"/>
          <w:szCs w:val="18"/>
          <w:color w:val="auto"/>
        </w:rPr>
        <w:t>[CEDE &amp; CO.]</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[_______]</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or registered assigns, the principal sum [as set forth in the “Schedule of Exchanges of Notes” attached hereto]</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[of</w:t>
      </w:r>
    </w:p>
    <w:p>
      <w:pPr>
        <w:spacing w:after="0" w:line="185" w:lineRule="auto"/>
        <w:rPr>
          <w:sz w:val="20"/>
          <w:szCs w:val="20"/>
          <w:color w:val="auto"/>
        </w:rPr>
      </w:pPr>
      <w:r>
        <w:rPr>
          <w:rFonts w:ascii="Times New Roman" w:cs="Times New Roman" w:eastAsia="Times New Roman" w:hAnsi="Times New Roman"/>
          <w:sz w:val="18"/>
          <w:szCs w:val="18"/>
          <w:color w:val="auto"/>
        </w:rPr>
        <w:t>$[_______]]</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which amount, taken together with the principal amounts of all other outstanding Notes, shall not, unless permitted by the Indenture, exceed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$550,000,000 in aggregate at any time, in accordance with the rules and procedures of the Depositary, on June 15, 2031, and interest, if any, thereon as set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Note shall not bear regular interest, and the principal amount shall not accrete. Any accrued Special Interest on this Note shall be computed on the basis of a 360-day year composed of twelve 30-day months and, for partial months, on the basis of the number of days actually elapsed in a 30-day month. Any Special Interest is payable semi-annually in arrears on each June 15 and December 15, commencing on December 15, 2026 (if any Special Interest is then payable), to Holders of record at the close of business on the preceding June 1 and December 1 (whether or not such day is a Business Day), respectively. Any Special Interest will be payable as set forth in Section 4.06(d), Section 4.06(e) and Section 6.03 of the within-mentioned Indenture, and any reference to interest or Special Interest on, or in respect of, any Note therein shall be deemed to refer solely to Special Interest (including any Deferred Special Interest and, if applicable, any interest thereon) if, in such context, Special Interest (including any Deferred Special Interest and, if applicable, any interest thereon) is, was or would be payable pursuant to any of such Section 4.06(d), Section 4.06(e) or Section 6.03, and/or to any interest on any Defaulted Amounts payable as set forth in Section 2.03(c) in the within-mentioned Indenture. Unless the context otherwise requires, any express mention of Special Interest, Deferred Special Interest and/or interest thereon in any provision of this Note shall not be construed as excluding Special Interest, Deferred Special Interest and/or interest thereon in such provision where such express mention is not made.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783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7"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spacing w:after="0" w:line="22" w:lineRule="exact"/>
        <w:rPr>
          <w:sz w:val="20"/>
          <w:szCs w:val="20"/>
          <w:color w:val="auto"/>
        </w:rPr>
      </w:pPr>
    </w:p>
    <w:p>
      <w:pPr>
        <w:ind w:right="160" w:firstLine="8"/>
        <w:spacing w:after="0" w:line="195" w:lineRule="auto"/>
        <w:tabs>
          <w:tab w:leader="none" w:pos="11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At such time as the Company notifies the Trustee that the Restricted Security legend is removed pursuant to Section 2.05(c) of the Indenture, the CUSIP number for this Security shall be deemed to be CUSIP No. [_____].</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Include if a global note.</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Include if a physical note.</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6"/>
          <w:szCs w:val="16"/>
          <w:color w:val="auto"/>
        </w:rPr>
        <w:t xml:space="preserve"> Include if a global note.</w:t>
      </w:r>
    </w:p>
    <w:p>
      <w:pPr>
        <w:ind w:left="120" w:hanging="112"/>
        <w:spacing w:after="0" w:line="183" w:lineRule="auto"/>
        <w:tabs>
          <w:tab w:leader="none" w:pos="12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 if a physical note.</w:t>
      </w:r>
    </w:p>
    <w:p>
      <w:pPr>
        <w:spacing w:after="0" w:line="2"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Defaulted Amounts shall not accrue interest unless Special Interest was payable on the required payment date, in which case such Defaulted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shall accrue interest per annum at the then-applicable Special Interest rate borne by the Notes, subject to the enforceability thereof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from, and including, the relevant payment date to, but excluding, the date on which such Defaulted Amounts shall have been paid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at its election, in accordance with Section 2.03(c)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pay the principal of and Special Interest, if any, on this Note, if and so long as such Note is a Global Note, in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funds to the Depositary or its nominee, as the case may be, as the registered Holder of such Note. As provided in and subject to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the Company shall pay the principal of any Notes (other than Notes that are Global Notes) at the office or agency designated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that purpose. The Company has initially designated the Trustee as its Paying Agent and Note Registrar in respect of the Notes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Trust Office located in the United States of America, as a place where Notes may be presented for payment or for registration of transfer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Note the right to convert this Note into cash, shares of Common Stock or a combination of cash and shares of Common Stock, as applicable,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subject to the limitations set forth in the Indenture. Such further provisions shall for all purposes have the same effect as though fully set forth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72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Note shall not be valid or become obligatory for any purpose until the certificate of authentication hereon shall have been signed manually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or a duly authorized authenticating agent under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6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PTC THERAPEUTICS,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ind w:left="5120"/>
              <w:spacing w:after="0"/>
              <w:rPr>
                <w:sz w:val="20"/>
                <w:szCs w:val="20"/>
                <w:color w:val="auto"/>
              </w:rPr>
            </w:pPr>
            <w:r>
              <w:rPr>
                <w:rFonts w:ascii="Times New Roman" w:cs="Times New Roman" w:eastAsia="Times New Roman" w:hAnsi="Times New Roman"/>
                <w:sz w:val="18"/>
                <w:szCs w:val="18"/>
                <w:color w:val="auto"/>
              </w:rPr>
              <w:t>A-5</w:t>
            </w: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380"/>
        <w:spacing w:after="0" w:line="250" w:lineRule="auto"/>
        <w:rPr>
          <w:sz w:val="20"/>
          <w:szCs w:val="20"/>
          <w:color w:val="auto"/>
        </w:rPr>
      </w:pPr>
      <w:r>
        <w:rPr>
          <w:rFonts w:ascii="Times New Roman" w:cs="Times New Roman" w:eastAsia="Times New Roman" w:hAnsi="Times New Roman"/>
          <w:sz w:val="18"/>
          <w:szCs w:val="18"/>
          <w:color w:val="auto"/>
        </w:rPr>
        <w:t>U.S. BANK TRUST COMPANY, NATIONAL ASSOCIATION, as Trustee, certifies that this is one of the Notes described in the within-named Indenture.</w:t>
      </w:r>
    </w:p>
    <w:tbl>
      <w:tblPr>
        <w:tblLayout w:type="fixed"/>
        <w:tblInd w:w="0" w:type="dxa"/>
        <w:tblCellMar>
          <w:top w:w="0" w:type="dxa"/>
          <w:left w:w="0" w:type="dxa"/>
          <w:bottom w:w="0" w:type="dxa"/>
          <w:right w:w="0" w:type="dxa"/>
        </w:tblCellMar>
      </w:tblPr>
      <w:tr>
        <w:trPr>
          <w:trHeight w:val="198"/>
        </w:trPr>
        <w:tc>
          <w:tcPr>
            <w:tcW w:w="37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19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34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Authorized Signatory</w:t>
            </w:r>
          </w:p>
        </w:tc>
        <w:tc>
          <w:tcPr>
            <w:tcW w:w="1920" w:type="dxa"/>
            <w:vAlign w:val="bottom"/>
            <w:tcBorders>
              <w:top w:val="single" w:sz="8" w:color="auto"/>
            </w:tcBorders>
          </w:tcPr>
          <w:p>
            <w:pPr>
              <w:spacing w:after="0"/>
              <w:rPr>
                <w:sz w:val="16"/>
                <w:szCs w:val="16"/>
                <w:color w:val="auto"/>
              </w:rPr>
            </w:pPr>
          </w:p>
        </w:tc>
        <w:tc>
          <w:tcPr>
            <w:tcW w:w="5620" w:type="dxa"/>
            <w:vAlign w:val="bottom"/>
          </w:tcPr>
          <w:p>
            <w:pPr>
              <w:spacing w:after="0"/>
              <w:rPr>
                <w:sz w:val="16"/>
                <w:szCs w:val="16"/>
                <w:color w:val="auto"/>
              </w:rPr>
            </w:pPr>
          </w:p>
        </w:tc>
      </w:tr>
      <w:tr>
        <w:trPr>
          <w:trHeight w:val="234"/>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color w:val="auto"/>
              </w:rPr>
              <w:t>A-6</w:t>
            </w:r>
          </w:p>
        </w:tc>
      </w:tr>
    </w:tbl>
    <w:p>
      <w:pPr>
        <w:sectPr>
          <w:pgSz w:w="11900" w:h="16838" w:orient="portrait"/>
          <w:cols w:equalWidth="0" w:num="1">
            <w:col w:w="11240"/>
          </w:cols>
          <w:pgMar w:left="320" w:top="22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PTC THERAPEUTICS, INC.</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0% Convertible Senior Note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to the aggregate principal amount of $550,000,000 all issued or to be issued under and pursuant to an Indenture dated as of June 18,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thereto reference is hereby made for a description of the rights, limitations of rights, obligations, duties and immunities thereunder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Company and the Holders of the Notes. Additional Notes may be issued in an unlimited aggregate principal amount, subject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specified in the Indenture. Capitalized terms used in this Note and not defined in this Note shall have the respective meanings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any Special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w:t>
      </w:r>
    </w:p>
    <w:p>
      <w:pPr>
        <w:spacing w:after="0" w:line="20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w:t>
      </w:r>
    </w:p>
    <w:p>
      <w:pPr>
        <w:spacing w:after="0" w:line="20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  </w:t>
      </w:r>
    </w:p>
    <w:p>
      <w:pPr>
        <w:spacing w:after="0" w:line="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and the Fundamental Change Repurchase Price, if applicable) of, (y) accrued and unpaid Special Interest, if any, on, and (z) the consideration due upon conversion of, this Note at the place, at the respective times, at the rate and in the lawful money or shares of Common Stock, as the case may be, herein prescribed.  </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0" w:right="4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are issuable in registered form without coupons in denominations of $1,000 principal amount and integral multiples thereof.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or agency of the Company referred to on the face hereof, and in the manner and subject to the limitations provided in the Indenture, Notes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for a like aggregate principal amount of Notes of other authorized denominations, without payment of any service charge but, if required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Trustee, with payment of a sum sufficient to cover any transfer or similar tax that may be imposed in connection therewith as a result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Holder of the new Notes issued upon such exchange of Notes being different from the name of the Holder of the old Notes surrendered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shall be redeemable at the Company’s option on or after June 20, 2029 in accordance with the terms and subject to the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the Indenture. No sinking fund is provided for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occurrence of a Fundamental Change, the Holder has the right, at such Holder’s option, to require the Company to repurchase for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such Holder’s Notes or any portion thereof (in principal amounts of $1,000 or integral multiples thereof) on the Fundamental Change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at a price equal to the Fundamental Change Repurchase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  </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0" w:right="4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ABBREVIATIONS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abbreviations, when used in the inscription of the face of this Note, shall be construed as though they were written out in full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applicable laws or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00"/>
          </w:cols>
          <w:pgMar w:left="320" w:top="220" w:right="8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jc w:val="right"/>
        <w:spacing w:after="0" w:line="205" w:lineRule="auto"/>
        <w:rPr>
          <w:sz w:val="20"/>
          <w:szCs w:val="20"/>
          <w:color w:val="auto"/>
        </w:rPr>
      </w:pP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29"/>
          <w:szCs w:val="29"/>
          <w:b w:val="1"/>
          <w:bCs w:val="1"/>
          <w:color w:val="auto"/>
          <w:vertAlign w:val="superscript"/>
        </w:rPr>
        <w:t>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PTC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 Convertible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 DOLLARS ($[_________]). The following increases or decreases in this Global</w:t>
      </w:r>
    </w:p>
    <w:tbl>
      <w:tblPr>
        <w:tblLayout w:type="fixed"/>
        <w:tblInd w:w="0" w:type="dxa"/>
        <w:tblCellMar>
          <w:top w:w="0" w:type="dxa"/>
          <w:left w:w="0" w:type="dxa"/>
          <w:bottom w:w="0" w:type="dxa"/>
          <w:right w:w="0" w:type="dxa"/>
        </w:tblCellMar>
      </w:tblPr>
      <w:tr>
        <w:trPr>
          <w:trHeight w:val="207"/>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have been made:</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Principal amount</w:t>
            </w:r>
          </w:p>
        </w:tc>
        <w:tc>
          <w:tcPr>
            <w:tcW w:w="180" w:type="dxa"/>
            <w:vAlign w:val="bottom"/>
          </w:tcPr>
          <w:p>
            <w:pPr>
              <w:spacing w:after="0"/>
              <w:rPr>
                <w:sz w:val="20"/>
                <w:szCs w:val="20"/>
                <w:color w:val="auto"/>
              </w:rPr>
            </w:pPr>
          </w:p>
        </w:tc>
        <w:tc>
          <w:tcPr>
            <w:tcW w:w="1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Signature of</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Amount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Amount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of this Global Note</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authorized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decrease in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increase 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following such</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signatory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principal amount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amount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decrease or</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Trustee or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Date of exchange    </w:t>
            </w:r>
          </w:p>
        </w:tc>
        <w:tc>
          <w:tcPr>
            <w:tcW w:w="320" w:type="dxa"/>
            <w:vAlign w:val="bottom"/>
          </w:tcPr>
          <w:p>
            <w:pPr>
              <w:spacing w:after="0"/>
              <w:rPr>
                <w:sz w:val="20"/>
                <w:szCs w:val="20"/>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this Global Note</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of this Global Note</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increase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Custodian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9"/>
                <w:szCs w:val="19"/>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20"/>
                <w:szCs w:val="20"/>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20"/>
                <w:szCs w:val="20"/>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50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2500" w:type="dxa"/>
            <w:vAlign w:val="bottom"/>
            <w:gridSpan w:val="3"/>
          </w:tcPr>
          <w:p>
            <w:pPr>
              <w:spacing w:after="0" w:line="299" w:lineRule="exact"/>
              <w:rPr>
                <w:sz w:val="20"/>
                <w:szCs w:val="20"/>
                <w:color w:val="auto"/>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Include if a global note.</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A-10</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U.S. Bank Trust Company, National Association</w:t>
      </w:r>
    </w:p>
    <w:p>
      <w:pPr>
        <w:spacing w:after="0" w:line="9" w:lineRule="exact"/>
        <w:rPr>
          <w:sz w:val="20"/>
          <w:szCs w:val="20"/>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111 Fillmore Ave E.</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Paul, MN 55107</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CTS Conversions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Ctso.conversions@usbank.com</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9"/>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any interest accompanies this Note. Capitalized terms used herein but not defined shall have the meanings ascribed to such terms in the Indenture.</w:t>
      </w:r>
    </w:p>
    <w:p>
      <w:pPr>
        <w:spacing w:after="0" w:line="3" w:lineRule="exact"/>
        <w:rPr>
          <w:rFonts w:ascii="Times New Roman" w:cs="Times New Roman" w:eastAsia="Times New Roman" w:hAnsi="Times New Roman"/>
          <w:sz w:val="18"/>
          <w:szCs w:val="18"/>
          <w:color w:val="auto"/>
        </w:rPr>
      </w:pPr>
    </w:p>
    <w:p>
      <w:pPr>
        <w:spacing w:after="0"/>
        <w:tabs>
          <w:tab w:leader="none" w:pos="0" w:val="left"/>
        </w:tabs>
        <w:numPr>
          <w:ilvl w:val="0"/>
          <w:numId w:val="9"/>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_____________________              ________________________________</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9"/>
        </w:numPr>
        <w:rPr>
          <w:rFonts w:ascii="Times New Roman" w:cs="Times New Roman" w:eastAsia="Times New Roman" w:hAnsi="Times New Roman"/>
          <w:sz w:val="18"/>
          <w:szCs w:val="18"/>
          <w:color w:val="auto"/>
        </w:rPr>
      </w:pP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7"/>
          <w:szCs w:val="17"/>
          <w:color w:val="auto"/>
        </w:rPr>
        <w:t>Commission Rule 17Ad-15 if shares of Common Stock are to be issued, or Notes are to be delivered, other than</w:t>
      </w:r>
    </w:p>
    <w:p>
      <w:pPr>
        <w:spacing w:after="0" w:line="250" w:lineRule="auto"/>
        <w:rPr>
          <w:sz w:val="20"/>
          <w:szCs w:val="20"/>
          <w:color w:val="auto"/>
        </w:rPr>
      </w:pPr>
      <w:r>
        <w:rPr>
          <w:rFonts w:ascii="Times New Roman" w:cs="Times New Roman" w:eastAsia="Times New Roman" w:hAnsi="Times New Roman"/>
          <w:sz w:val="18"/>
          <w:szCs w:val="18"/>
          <w:color w:val="auto"/>
        </w:rPr>
        <w:t>to and in the name of the registered holder.  </w:t>
      </w:r>
    </w:p>
    <w:p>
      <w:pPr>
        <w:spacing w:after="0" w:line="1" w:lineRule="exact"/>
        <w:rPr>
          <w:sz w:val="20"/>
          <w:szCs w:val="20"/>
          <w:color w:val="auto"/>
        </w:rPr>
      </w:pPr>
    </w:p>
    <w:p>
      <w:pPr>
        <w:ind w:right="700"/>
        <w:spacing w:after="0" w:line="250" w:lineRule="auto"/>
        <w:rPr>
          <w:sz w:val="20"/>
          <w:szCs w:val="20"/>
          <w:color w:val="auto"/>
        </w:rPr>
      </w:pPr>
      <w:r>
        <w:rPr>
          <w:rFonts w:ascii="Times New Roman" w:cs="Times New Roman" w:eastAsia="Times New Roman" w:hAnsi="Times New Roman"/>
          <w:sz w:val="18"/>
          <w:szCs w:val="18"/>
          <w:color w:val="auto"/>
        </w:rPr>
        <w:t>Fill in for registration of shares if to be issued, and Notes if to</w:t>
      </w:r>
    </w:p>
    <w:p>
      <w:pPr>
        <w:spacing w:after="0" w:line="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be delivered, other than to and in the name of the registered holder: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0"/>
          <w:szCs w:val="20"/>
          <w:color w:val="auto"/>
        </w:rPr>
      </w:pPr>
    </w:p>
    <w:p>
      <w:pPr>
        <w:ind w:right="920"/>
        <w:spacing w:after="0" w:line="255" w:lineRule="auto"/>
        <w:rPr>
          <w:sz w:val="20"/>
          <w:szCs w:val="20"/>
          <w:color w:val="auto"/>
        </w:rPr>
      </w:pPr>
      <w:r>
        <w:rPr>
          <w:rFonts w:ascii="Times New Roman" w:cs="Times New Roman" w:eastAsia="Times New Roman" w:hAnsi="Times New Roman"/>
          <w:sz w:val="18"/>
          <w:szCs w:val="18"/>
          <w:color w:val="auto"/>
        </w:rPr>
        <w:t>(City, State and Zip Code) Please print name and address  </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whatsoever.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0" w:lineRule="exact"/>
        <w:rPr>
          <w:sz w:val="20"/>
          <w:szCs w:val="20"/>
          <w:color w:val="auto"/>
        </w:rPr>
      </w:pPr>
    </w:p>
    <w:p>
      <w:pPr>
        <w:spacing w:after="0" w:line="22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100" w:space="140"/>
            <w:col w:w="7780"/>
          </w:cols>
          <w:pgMar w:left="320" w:top="220" w:right="5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U.S. Bank Trust Company, National Association</w:t>
      </w:r>
    </w:p>
    <w:p>
      <w:pPr>
        <w:spacing w:after="0" w:line="9"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111 Fillmore Ave E.</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Paul, MN 55107</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CTS Conversions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Ctso.conversions@usbank.com</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10"/>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right="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registered owner of this Note hereby acknowledges receipt of a notice from PTC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Special Interest Record Date and on or prior to the corresponding Special Interest Payment Date, accrued and unpaid Special Interest, if any, thereon to, but excluding, such Fundamental Change Repurchase Date. Capitalized terms used herein but not defined shall have the meanings ascribed to such terms in the Indenture.</w:t>
      </w:r>
    </w:p>
    <w:p>
      <w:pPr>
        <w:spacing w:after="0" w:line="2" w:lineRule="exact"/>
        <w:rPr>
          <w:rFonts w:ascii="Times New Roman" w:cs="Times New Roman" w:eastAsia="Times New Roman" w:hAnsi="Times New Roman"/>
          <w:sz w:val="18"/>
          <w:szCs w:val="18"/>
          <w:color w:val="auto"/>
        </w:rPr>
      </w:pPr>
    </w:p>
    <w:p>
      <w:pPr>
        <w:spacing w:after="0"/>
        <w:tabs>
          <w:tab w:leader="none" w:pos="0" w:val="left"/>
        </w:tabs>
        <w:numPr>
          <w:ilvl w:val="0"/>
          <w:numId w:val="10"/>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10"/>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_____________________</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10"/>
        </w:numPr>
        <w:rPr>
          <w:rFonts w:ascii="Times New Roman" w:cs="Times New Roman" w:eastAsia="Times New Roman" w:hAnsi="Times New Roman"/>
          <w:sz w:val="18"/>
          <w:szCs w:val="18"/>
          <w:color w:val="auto"/>
        </w:rPr>
      </w:pP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amount to be repaid (if less than all):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right="220"/>
        <w:spacing w:after="0" w:line="250"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whatsoever.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ATTACHMENT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U.S. Bank Trust Company, National Association</w:t>
      </w:r>
    </w:p>
    <w:p>
      <w:pPr>
        <w:spacing w:after="0" w:line="9"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111 Fillmore Ave E.</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Paul, MN 55107</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CTS Conversions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Ctso.conversions@usbank.com</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11"/>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right="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w:t>
      </w:r>
    </w:p>
    <w:p>
      <w:pPr>
        <w:spacing w:after="0" w:line="1" w:lineRule="exact"/>
        <w:rPr>
          <w:rFonts w:ascii="Times New Roman" w:cs="Times New Roman" w:eastAsia="Times New Roman" w:hAnsi="Times New Roman"/>
          <w:sz w:val="18"/>
          <w:szCs w:val="18"/>
          <w:color w:val="auto"/>
        </w:rPr>
      </w:pPr>
    </w:p>
    <w:p>
      <w:pPr>
        <w:spacing w:after="0"/>
        <w:tabs>
          <w:tab w:leader="none" w:pos="0" w:val="left"/>
        </w:tabs>
        <w:numPr>
          <w:ilvl w:val="0"/>
          <w:numId w:val="11"/>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right="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transfer of the within Note occurring prior to the Resale Restriction Termination Date, as defined in the Indenture governing such Note, the undersigned confirms that such Note is being transferred:</w:t>
      </w:r>
    </w:p>
    <w:p>
      <w:pPr>
        <w:spacing w:after="0"/>
        <w:tabs>
          <w:tab w:leader="none" w:pos="0" w:val="left"/>
        </w:tabs>
        <w:numPr>
          <w:ilvl w:val="0"/>
          <w:numId w:val="11"/>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To PTC Therapeutics, Inc. or a subsidiary thereof; or</w:t>
      </w:r>
    </w:p>
    <w:p>
      <w:pPr>
        <w:spacing w:after="0" w:line="10" w:lineRule="exact"/>
        <w:rPr>
          <w:rFonts w:ascii="Times New Roman" w:cs="Times New Roman" w:eastAsia="Times New Roman" w:hAnsi="Times New Roman"/>
          <w:sz w:val="18"/>
          <w:szCs w:val="18"/>
          <w:color w:val="auto"/>
        </w:rPr>
      </w:pPr>
    </w:p>
    <w:p>
      <w:pPr>
        <w:spacing w:after="0"/>
        <w:tabs>
          <w:tab w:leader="none" w:pos="0" w:val="left"/>
        </w:tabs>
        <w:numPr>
          <w:ilvl w:val="0"/>
          <w:numId w:val="11"/>
        </w:numPr>
        <w:rPr>
          <w:rFonts w:ascii="Times New Roman" w:cs="Times New Roman" w:eastAsia="Times New Roman" w:hAnsi="Times New Roman"/>
          <w:sz w:val="18"/>
          <w:szCs w:val="18"/>
          <w:color w:val="auto"/>
        </w:rPr>
      </w:pPr>
    </w:p>
    <w:p>
      <w:pPr>
        <w:spacing w:after="0" w:line="7"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Pursuant to a registration statement that has become effective under the Securities Act of 1933, as amended; or</w:t>
      </w:r>
    </w:p>
    <w:p>
      <w:pPr>
        <w:spacing w:after="0" w:line="10" w:lineRule="exact"/>
        <w:rPr>
          <w:rFonts w:ascii="Times New Roman" w:cs="Times New Roman" w:eastAsia="Times New Roman" w:hAnsi="Times New Roman"/>
          <w:sz w:val="18"/>
          <w:szCs w:val="18"/>
          <w:color w:val="auto"/>
        </w:rPr>
      </w:pPr>
    </w:p>
    <w:p>
      <w:pPr>
        <w:spacing w:after="0"/>
        <w:tabs>
          <w:tab w:leader="none" w:pos="0" w:val="left"/>
        </w:tabs>
        <w:numPr>
          <w:ilvl w:val="0"/>
          <w:numId w:val="11"/>
        </w:numPr>
        <w:rPr>
          <w:rFonts w:ascii="Times New Roman" w:cs="Times New Roman" w:eastAsia="Times New Roman" w:hAnsi="Times New Roman"/>
          <w:sz w:val="18"/>
          <w:szCs w:val="18"/>
          <w:color w:val="auto"/>
        </w:rPr>
      </w:pPr>
    </w:p>
    <w:p>
      <w:pPr>
        <w:spacing w:after="0" w:line="7"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Pursuant to and in compliance with Rule 144A under the Securities Act of 1933, as amended; or</w:t>
      </w:r>
    </w:p>
    <w:p>
      <w:pPr>
        <w:spacing w:after="0" w:line="10" w:lineRule="exact"/>
        <w:rPr>
          <w:rFonts w:ascii="Times New Roman" w:cs="Times New Roman" w:eastAsia="Times New Roman" w:hAnsi="Times New Roman"/>
          <w:sz w:val="18"/>
          <w:szCs w:val="18"/>
          <w:color w:val="auto"/>
        </w:rPr>
      </w:pPr>
    </w:p>
    <w:p>
      <w:pPr>
        <w:spacing w:after="0"/>
        <w:tabs>
          <w:tab w:leader="none" w:pos="0" w:val="left"/>
        </w:tabs>
        <w:numPr>
          <w:ilvl w:val="0"/>
          <w:numId w:val="11"/>
        </w:numPr>
        <w:rPr>
          <w:rFonts w:ascii="Times New Roman" w:cs="Times New Roman" w:eastAsia="Times New Roman" w:hAnsi="Times New Roman"/>
          <w:sz w:val="18"/>
          <w:szCs w:val="18"/>
          <w:color w:val="auto"/>
        </w:rPr>
      </w:pPr>
    </w:p>
    <w:p>
      <w:pPr>
        <w:spacing w:after="0" w:line="7" w:lineRule="exact"/>
        <w:rPr>
          <w:rFonts w:ascii="Times New Roman" w:cs="Times New Roman" w:eastAsia="Times New Roman" w:hAnsi="Times New Roman"/>
          <w:sz w:val="18"/>
          <w:szCs w:val="18"/>
          <w:color w:val="auto"/>
        </w:rPr>
      </w:pPr>
    </w:p>
    <w:p>
      <w:pPr>
        <w:ind w:right="380"/>
        <w:spacing w:after="0" w:line="216"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Pursuant to and in compliance with Rule 144 under the Securities Act of 1933, as amended, or any other available exemption from the registration requirements of the Securities Act of 1933, as amended.</w:t>
      </w:r>
    </w:p>
    <w:p>
      <w:pPr>
        <w:spacing w:after="0"/>
        <w:tabs>
          <w:tab w:leader="none" w:pos="0" w:val="left"/>
        </w:tabs>
        <w:numPr>
          <w:ilvl w:val="0"/>
          <w:numId w:val="11"/>
        </w:numPr>
        <w:rPr>
          <w:rFonts w:ascii="Times New Roman" w:cs="Times New Roman" w:eastAsia="Times New Roman" w:hAnsi="Times New Roman"/>
          <w:sz w:val="18"/>
          <w:szCs w:val="18"/>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Guarantor Institution (banks,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savings and loan associations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unions) 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 pursuant</w:t>
      </w:r>
    </w:p>
    <w:p>
      <w:pPr>
        <w:spacing w:after="0" w:line="9" w:lineRule="exact"/>
        <w:rPr>
          <w:sz w:val="20"/>
          <w:szCs w:val="20"/>
          <w:color w:val="auto"/>
        </w:rPr>
      </w:pPr>
    </w:p>
    <w:p>
      <w:pPr>
        <w:ind w:right="4480"/>
        <w:spacing w:after="0" w:line="260" w:lineRule="auto"/>
        <w:rPr>
          <w:sz w:val="20"/>
          <w:szCs w:val="20"/>
          <w:color w:val="auto"/>
        </w:rPr>
      </w:pPr>
      <w:r>
        <w:rPr>
          <w:rFonts w:ascii="Times New Roman" w:cs="Times New Roman" w:eastAsia="Times New Roman" w:hAnsi="Times New Roman"/>
          <w:sz w:val="18"/>
          <w:szCs w:val="18"/>
          <w:color w:val="auto"/>
        </w:rPr>
        <w:t>to Securities and Exchange Commission Rule 17Ad-15 if Notes are to be delivered, other than to and in the name of the registered holder.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enlargement or any change whatsoever.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00"/>
      </w:cols>
      <w:pgMar w:left="320" w:top="2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Y"/>
      <w:numFmt w:val="bullet"/>
      <w:start w:val="1"/>
    </w:lvl>
  </w:abstractNum>
  <w:abstractNum w:abstractNumId="3">
    <w:nsid w:val="79E2A9E3"/>
    <w:multiLevelType w:val="hybridMultilevel"/>
    <w:lvl w:ilvl="0">
      <w:lvlJc w:val="left"/>
      <w:lvlText w:val="C"/>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7"/>
      <w:numFmt w:val="bullet"/>
      <w:start w:val="1"/>
    </w:lvl>
  </w:abstractNum>
  <w:abstractNum w:abstractNumId="8">
    <w:nsid w:val="4DB127F8"/>
    <w:multiLevelType w:val="hybridMultilevel"/>
    <w:lvl w:ilvl="0">
      <w:lvlJc w:val="left"/>
      <w:lvlText w:val=" "/>
      <w:numFmt w:val="bullet"/>
      <w:start w:val="1"/>
    </w:lvl>
  </w:abstractNum>
  <w:abstractNum w:abstractNumId="9">
    <w:nsid w:val="216231B"/>
    <w:multiLevelType w:val="hybridMultilevel"/>
    <w:lvl w:ilvl="0">
      <w:lvlJc w:val="left"/>
      <w:lvlText w:val=" "/>
      <w:numFmt w:val="bullet"/>
      <w:start w:val="1"/>
    </w:lvl>
  </w:abstractNum>
  <w:abstractNum w:abstractNumId="10">
    <w:nsid w:val="1F16E9E8"/>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2026-06-18T15:26:43Z</dcterms:created>
  <dcterms:modified xsi:type="dcterms:W3CDTF">2026-06-18T15:26:43Z</dcterms:modified>
</cp:coreProperties>
</file>