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 PTC Therapeutics, Inc.</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(MarkOne)</w:t>
      </w:r>
    </w:p>
    <w:p>
      <w:pPr>
        <w:spacing w:after="0" w:line="252" w:lineRule="exact"/>
        <w:rPr>
          <w:sz w:val="24"/>
          <w:szCs w:val="24"/>
          <w:color w:val="auto"/>
        </w:rPr>
      </w:pPr>
    </w:p>
    <w:p>
      <w:pPr>
        <w:ind w:left="4020" w:right="1620" w:hanging="3600"/>
        <w:spacing w:after="0" w:line="532" w:lineRule="auto"/>
        <w:tabs>
          <w:tab w:leader="none" w:pos="114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spacing w:after="0" w:line="1" w:lineRule="exact"/>
        <w:rPr>
          <w:sz w:val="24"/>
          <w:szCs w:val="24"/>
          <w:color w:val="auto"/>
        </w:rPr>
      </w:pPr>
    </w:p>
    <w:p>
      <w:pPr>
        <w:jc w:val="center"/>
        <w:ind w:left="4360" w:right="1260" w:hanging="3903"/>
        <w:spacing w:after="0" w:line="525" w:lineRule="auto"/>
        <w:tabs>
          <w:tab w:leader="none" w:pos="11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001-35969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-16510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PTC THERAPEUTICS, INC.</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tbl>
      <w:tblPr>
        <w:tblLayout w:type="fixed"/>
        <w:tblInd w:w="2720" w:type="dxa"/>
        <w:tblCellMar>
          <w:top w:w="0" w:type="dxa"/>
          <w:left w:w="0" w:type="dxa"/>
          <w:bottom w:w="0" w:type="dxa"/>
          <w:right w:w="0" w:type="dxa"/>
        </w:tblCellMar>
      </w:tblPr>
      <w:tr>
        <w:trPr>
          <w:trHeight w:val="222"/>
        </w:trPr>
        <w:tc>
          <w:tcPr>
            <w:tcW w:w="3380" w:type="dxa"/>
            <w:vAlign w:val="bottom"/>
          </w:tcPr>
          <w:p>
            <w:pPr>
              <w:jc w:val="center"/>
              <w:ind w:right="412"/>
              <w:spacing w:after="0"/>
              <w:rPr>
                <w:sz w:val="20"/>
                <w:szCs w:val="20"/>
                <w:color w:val="auto"/>
              </w:rPr>
            </w:pPr>
            <w:r>
              <w:rPr>
                <w:rFonts w:ascii="Arial" w:cs="Arial" w:eastAsia="Arial" w:hAnsi="Arial"/>
                <w:sz w:val="18"/>
                <w:szCs w:val="18"/>
                <w:b w:val="1"/>
                <w:bCs w:val="1"/>
                <w:color w:val="auto"/>
                <w:w w:val="91"/>
              </w:rPr>
              <w:t>Delaware</w:t>
            </w:r>
          </w:p>
        </w:tc>
        <w:tc>
          <w:tcPr>
            <w:tcW w:w="1820" w:type="dxa"/>
            <w:vAlign w:val="bottom"/>
          </w:tcPr>
          <w:p>
            <w:pPr>
              <w:jc w:val="right"/>
              <w:ind w:right="132"/>
              <w:spacing w:after="0"/>
              <w:rPr>
                <w:sz w:val="20"/>
                <w:szCs w:val="20"/>
                <w:color w:val="auto"/>
              </w:rPr>
            </w:pPr>
            <w:r>
              <w:rPr>
                <w:rFonts w:ascii="Arial" w:cs="Arial" w:eastAsia="Arial" w:hAnsi="Arial"/>
                <w:sz w:val="18"/>
                <w:szCs w:val="18"/>
                <w:b w:val="1"/>
                <w:bCs w:val="1"/>
                <w:color w:val="auto"/>
              </w:rPr>
              <w:t>04-3416587</w:t>
            </w:r>
          </w:p>
        </w:tc>
      </w:tr>
      <w:tr>
        <w:trPr>
          <w:trHeight w:val="216"/>
        </w:trPr>
        <w:tc>
          <w:tcPr>
            <w:tcW w:w="3380" w:type="dxa"/>
            <w:vAlign w:val="bottom"/>
          </w:tcPr>
          <w:p>
            <w:pPr>
              <w:jc w:val="center"/>
              <w:ind w:right="412"/>
              <w:spacing w:after="0"/>
              <w:rPr>
                <w:sz w:val="20"/>
                <w:szCs w:val="20"/>
                <w:color w:val="auto"/>
              </w:rPr>
            </w:pPr>
            <w:r>
              <w:rPr>
                <w:rFonts w:ascii="Arial" w:cs="Arial" w:eastAsia="Arial" w:hAnsi="Arial"/>
                <w:sz w:val="18"/>
                <w:szCs w:val="18"/>
                <w:color w:val="auto"/>
                <w:w w:val="90"/>
              </w:rPr>
              <w:t>(State or other jurisdiction of</w:t>
            </w:r>
          </w:p>
        </w:tc>
        <w:tc>
          <w:tcPr>
            <w:tcW w:w="182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ind w:right="412"/>
              <w:spacing w:after="0"/>
              <w:rPr>
                <w:sz w:val="20"/>
                <w:szCs w:val="20"/>
                <w:color w:val="auto"/>
              </w:rPr>
            </w:pPr>
            <w:r>
              <w:rPr>
                <w:rFonts w:ascii="Arial" w:cs="Arial" w:eastAsia="Arial" w:hAnsi="Arial"/>
                <w:sz w:val="18"/>
                <w:szCs w:val="18"/>
                <w:color w:val="auto"/>
                <w:w w:val="90"/>
              </w:rPr>
              <w:t>incorporation or organization)</w:t>
            </w:r>
          </w:p>
        </w:tc>
        <w:tc>
          <w:tcPr>
            <w:tcW w:w="1820" w:type="dxa"/>
            <w:vAlign w:val="bottom"/>
          </w:tcPr>
          <w:p>
            <w:pPr>
              <w:jc w:val="center"/>
              <w:ind w:left="432"/>
              <w:spacing w:after="0"/>
              <w:rPr>
                <w:sz w:val="20"/>
                <w:szCs w:val="20"/>
                <w:color w:val="auto"/>
              </w:rPr>
            </w:pPr>
            <w:r>
              <w:rPr>
                <w:rFonts w:ascii="Arial" w:cs="Arial" w:eastAsia="Arial" w:hAnsi="Arial"/>
                <w:sz w:val="18"/>
                <w:szCs w:val="18"/>
                <w:color w:val="auto"/>
                <w:w w:val="92"/>
              </w:rPr>
              <w:t>Identification No.)</w:t>
            </w:r>
          </w:p>
        </w:tc>
      </w:tr>
      <w:tr>
        <w:trPr>
          <w:trHeight w:val="447"/>
        </w:trPr>
        <w:tc>
          <w:tcPr>
            <w:tcW w:w="3380" w:type="dxa"/>
            <w:vAlign w:val="bottom"/>
          </w:tcPr>
          <w:p>
            <w:pPr>
              <w:jc w:val="center"/>
              <w:ind w:right="392"/>
              <w:spacing w:after="0"/>
              <w:rPr>
                <w:sz w:val="20"/>
                <w:szCs w:val="20"/>
                <w:color w:val="auto"/>
              </w:rPr>
            </w:pPr>
            <w:r>
              <w:rPr>
                <w:rFonts w:ascii="Arial" w:cs="Arial" w:eastAsia="Arial" w:hAnsi="Arial"/>
                <w:sz w:val="18"/>
                <w:szCs w:val="18"/>
                <w:b w:val="1"/>
                <w:bCs w:val="1"/>
                <w:color w:val="auto"/>
                <w:w w:val="90"/>
              </w:rPr>
              <w:t>100 Corporate Court</w:t>
            </w:r>
          </w:p>
        </w:tc>
        <w:tc>
          <w:tcPr>
            <w:tcW w:w="1820" w:type="dxa"/>
            <w:vAlign w:val="bottom"/>
          </w:tcPr>
          <w:p>
            <w:pPr>
              <w:spacing w:after="0"/>
              <w:rPr>
                <w:sz w:val="24"/>
                <w:szCs w:val="24"/>
                <w:color w:val="auto"/>
              </w:rPr>
            </w:pPr>
          </w:p>
        </w:tc>
      </w:tr>
      <w:tr>
        <w:trPr>
          <w:trHeight w:val="222"/>
        </w:trPr>
        <w:tc>
          <w:tcPr>
            <w:tcW w:w="3380" w:type="dxa"/>
            <w:vAlign w:val="bottom"/>
          </w:tcPr>
          <w:p>
            <w:pPr>
              <w:jc w:val="center"/>
              <w:ind w:right="412"/>
              <w:spacing w:after="0"/>
              <w:rPr>
                <w:sz w:val="20"/>
                <w:szCs w:val="20"/>
                <w:color w:val="auto"/>
              </w:rPr>
            </w:pPr>
            <w:r>
              <w:rPr>
                <w:rFonts w:ascii="Arial" w:cs="Arial" w:eastAsia="Arial" w:hAnsi="Arial"/>
                <w:sz w:val="18"/>
                <w:szCs w:val="18"/>
                <w:b w:val="1"/>
                <w:bCs w:val="1"/>
                <w:color w:val="auto"/>
                <w:w w:val="88"/>
              </w:rPr>
              <w:t>South Plainfield, New Jersey</w:t>
            </w:r>
          </w:p>
        </w:tc>
        <w:tc>
          <w:tcPr>
            <w:tcW w:w="1820" w:type="dxa"/>
            <w:vAlign w:val="bottom"/>
          </w:tcPr>
          <w:p>
            <w:pPr>
              <w:jc w:val="right"/>
              <w:ind w:right="332"/>
              <w:spacing w:after="0"/>
              <w:rPr>
                <w:sz w:val="20"/>
                <w:szCs w:val="20"/>
                <w:color w:val="auto"/>
              </w:rPr>
            </w:pPr>
            <w:r>
              <w:rPr>
                <w:rFonts w:ascii="Arial" w:cs="Arial" w:eastAsia="Arial" w:hAnsi="Arial"/>
                <w:sz w:val="18"/>
                <w:szCs w:val="18"/>
                <w:b w:val="1"/>
                <w:bCs w:val="1"/>
                <w:color w:val="auto"/>
              </w:rPr>
              <w:t>07080</w:t>
            </w:r>
          </w:p>
        </w:tc>
      </w:tr>
      <w:tr>
        <w:trPr>
          <w:trHeight w:val="222"/>
        </w:trPr>
        <w:tc>
          <w:tcPr>
            <w:tcW w:w="3380" w:type="dxa"/>
            <w:vAlign w:val="bottom"/>
          </w:tcPr>
          <w:p>
            <w:pPr>
              <w:jc w:val="center"/>
              <w:ind w:right="412"/>
              <w:spacing w:after="0"/>
              <w:rPr>
                <w:sz w:val="20"/>
                <w:szCs w:val="20"/>
                <w:color w:val="auto"/>
              </w:rPr>
            </w:pPr>
            <w:r>
              <w:rPr>
                <w:rFonts w:ascii="Arial" w:cs="Arial" w:eastAsia="Arial" w:hAnsi="Arial"/>
                <w:sz w:val="18"/>
                <w:szCs w:val="18"/>
                <w:color w:val="auto"/>
                <w:w w:val="91"/>
              </w:rPr>
              <w:t>(Address of Principal Executive Offices)</w:t>
            </w:r>
          </w:p>
        </w:tc>
        <w:tc>
          <w:tcPr>
            <w:tcW w:w="1820" w:type="dxa"/>
            <w:vAlign w:val="bottom"/>
          </w:tcPr>
          <w:p>
            <w:pPr>
              <w:jc w:val="center"/>
              <w:ind w:left="43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(908) 222-7000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100" w:type="dxa"/>
            <w:vAlign w:val="bottom"/>
          </w:tcPr>
          <w:p>
            <w:pPr>
              <w:spacing w:after="0"/>
              <w:rPr>
                <w:sz w:val="14"/>
                <w:szCs w:val="14"/>
                <w:color w:val="auto"/>
              </w:rPr>
            </w:pPr>
          </w:p>
        </w:tc>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16"/>
        </w:trPr>
        <w:tc>
          <w:tcPr>
            <w:tcW w:w="2220" w:type="dxa"/>
            <w:vAlign w:val="bottom"/>
          </w:tcPr>
          <w:p>
            <w:pPr>
              <w:spacing w:after="0"/>
              <w:rPr>
                <w:sz w:val="18"/>
                <w:szCs w:val="18"/>
                <w:color w:val="auto"/>
              </w:rPr>
            </w:pPr>
          </w:p>
        </w:tc>
        <w:tc>
          <w:tcPr>
            <w:tcW w:w="25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Common Stock, $0.001 par value</w:t>
            </w:r>
          </w:p>
        </w:tc>
        <w:tc>
          <w:tcPr>
            <w:tcW w:w="1100" w:type="dxa"/>
            <w:vAlign w:val="bottom"/>
          </w:tcPr>
          <w:p>
            <w:pPr>
              <w:spacing w:after="0"/>
              <w:rPr>
                <w:sz w:val="18"/>
                <w:szCs w:val="18"/>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color w:val="auto"/>
                <w:w w:val="91"/>
              </w:rPr>
              <w:t>NASDAQ Global Select Market</w:t>
            </w:r>
          </w:p>
        </w:tc>
      </w:tr>
      <w:tr>
        <w:trPr>
          <w:trHeight w:val="424"/>
        </w:trPr>
        <w:tc>
          <w:tcPr>
            <w:tcW w:w="4720" w:type="dxa"/>
            <w:vAlign w:val="bottom"/>
            <w:gridSpan w:val="3"/>
          </w:tcPr>
          <w:p>
            <w:pPr>
              <w:spacing w:after="0"/>
              <w:rPr>
                <w:sz w:val="20"/>
                <w:szCs w:val="20"/>
                <w:color w:val="auto"/>
              </w:rPr>
            </w:pPr>
            <w:r>
              <w:rPr>
                <w:rFonts w:ascii="Arial" w:cs="Arial" w:eastAsia="Arial" w:hAnsi="Arial"/>
                <w:sz w:val="18"/>
                <w:szCs w:val="18"/>
                <w:color w:val="auto"/>
                <w:w w:val="92"/>
              </w:rPr>
              <w:t xml:space="preserve">Securities registered pursuant to Section 12(g) of the Act: </w:t>
            </w:r>
            <w:r>
              <w:rPr>
                <w:rFonts w:ascii="Arial" w:cs="Arial" w:eastAsia="Arial" w:hAnsi="Arial"/>
                <w:sz w:val="18"/>
                <w:szCs w:val="18"/>
                <w:b w:val="1"/>
                <w:bCs w:val="1"/>
                <w:color w:val="auto"/>
                <w:w w:val="92"/>
              </w:rPr>
              <w:t>None</w:t>
            </w: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8"/>
        </w:trPr>
        <w:tc>
          <w:tcPr>
            <w:tcW w:w="2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20" w:type="dxa"/>
            <w:vAlign w:val="bottom"/>
          </w:tcPr>
          <w:p>
            <w:pPr>
              <w:spacing w:after="0"/>
              <w:rPr>
                <w:sz w:val="18"/>
                <w:szCs w:val="18"/>
                <w:color w:val="auto"/>
              </w:rPr>
            </w:pPr>
          </w:p>
        </w:tc>
      </w:tr>
    </w:tbl>
    <w:p>
      <w:pPr>
        <w:spacing w:after="0" w:line="200" w:lineRule="exact"/>
        <w:rPr>
          <w:sz w:val="24"/>
          <w:szCs w:val="24"/>
          <w:color w:val="auto"/>
        </w:rPr>
      </w:pPr>
    </w:p>
    <w:p>
      <w:pPr>
        <w:sectPr>
          <w:pgSz w:w="11900" w:h="16838" w:orient="portrait"/>
          <w:cols w:equalWidth="0" w:num="1">
            <w:col w:w="11340"/>
          </w:cols>
          <w:pgMar w:left="240" w:top="685" w:right="319" w:bottom="0" w:gutter="0" w:footer="0" w:header="0"/>
        </w:sectPr>
      </w:pPr>
    </w:p>
    <w:p>
      <w:pPr>
        <w:spacing w:after="0" w:line="332" w:lineRule="exact"/>
        <w:rPr>
          <w:sz w:val="24"/>
          <w:szCs w:val="24"/>
          <w:color w:val="auto"/>
        </w:rPr>
      </w:pPr>
    </w:p>
    <w:p>
      <w:pPr>
        <w:ind w:left="44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 o</w:t>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9120" w:space="160"/>
            <w:col w:w="2060"/>
          </w:cols>
          <w:pgMar w:left="240" w:top="685" w:right="319" w:bottom="0" w:gutter="0" w:footer="0" w:header="0"/>
          <w:type w:val="continuous"/>
        </w:sectPr>
      </w:pPr>
    </w:p>
    <w:p>
      <w:pPr>
        <w:spacing w:after="0" w:line="6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9280" w:space="160"/>
            <w:col w:w="1900"/>
          </w:cols>
          <w:pgMar w:left="240" w:top="685" w:right="319" w:bottom="0" w:gutter="0" w:footer="0" w:header="0"/>
          <w:type w:val="continuous"/>
        </w:sectPr>
      </w:pPr>
    </w:p>
    <w:p>
      <w:pPr>
        <w:spacing w:after="0" w:line="48" w:lineRule="exact"/>
        <w:rPr>
          <w:sz w:val="24"/>
          <w:szCs w:val="24"/>
          <w:color w:val="auto"/>
        </w:rPr>
      </w:pPr>
    </w:p>
    <w:p>
      <w:pPr>
        <w:ind w:right="220" w:firstLine="43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140" w:firstLine="439"/>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jc w:val="both"/>
        <w:ind w:firstLine="43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340"/>
          </w:cols>
          <w:pgMar w:left="240" w:top="685" w:right="319" w:bottom="0" w:gutter="0" w:footer="0" w:header="0"/>
          <w:type w:val="continuous"/>
        </w:sectPr>
      </w:pPr>
    </w:p>
    <w:bookmarkStart w:id="1" w:name="page2"/>
    <w:bookmarkEnd w:id="1"/>
    <w:p>
      <w:pPr>
        <w:ind w:right="200" w:firstLine="43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131" w:right="279" w:bottom="1440" w:gutter="0" w:footer="0" w:header="0"/>
        </w:sectPr>
      </w:pPr>
    </w:p>
    <w:p>
      <w:pPr>
        <w:spacing w:after="0" w:line="107" w:lineRule="exact"/>
        <w:rPr>
          <w:sz w:val="20"/>
          <w:szCs w:val="20"/>
          <w:color w:val="auto"/>
        </w:rPr>
      </w:pPr>
    </w:p>
    <w:p>
      <w:pPr>
        <w:ind w:left="3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0"/>
          <w:szCs w:val="20"/>
          <w:color w:val="auto"/>
        </w:rPr>
      </w:pPr>
    </w:p>
    <w:p>
      <w:pPr>
        <w:sectPr>
          <w:pgSz w:w="11900" w:h="16838" w:orient="portrait"/>
          <w:cols w:equalWidth="0" w:num="4">
            <w:col w:w="2860" w:space="720"/>
            <w:col w:w="1740" w:space="720"/>
            <w:col w:w="2180" w:space="720"/>
            <w:col w:w="2440"/>
          </w:cols>
          <w:pgMar w:left="240" w:top="131" w:right="279" w:bottom="1440" w:gutter="0" w:footer="0" w:header="0"/>
          <w:type w:val="continuous"/>
        </w:sectPr>
      </w:pPr>
    </w:p>
    <w:p>
      <w:pPr>
        <w:jc w:val="center"/>
        <w:ind w:left="2280"/>
        <w:spacing w:after="0"/>
        <w:rPr>
          <w:sz w:val="20"/>
          <w:szCs w:val="20"/>
          <w:color w:val="auto"/>
        </w:rPr>
      </w:pPr>
      <w:r>
        <w:rPr>
          <w:rFonts w:ascii="Arial" w:cs="Arial" w:eastAsia="Arial" w:hAnsi="Arial"/>
          <w:sz w:val="14"/>
          <w:szCs w:val="14"/>
          <w:color w:val="auto"/>
        </w:rPr>
        <w:t>(Do not check if a</w:t>
      </w:r>
    </w:p>
    <w:p>
      <w:pPr>
        <w:jc w:val="center"/>
        <w:ind w:left="228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80"/>
          </w:cols>
          <w:pgMar w:left="240" w:top="131" w:right="279" w:bottom="1440" w:gutter="0" w:footer="0" w:header="0"/>
          <w:type w:val="continuous"/>
        </w:sectPr>
      </w:pPr>
    </w:p>
    <w:p>
      <w:pPr>
        <w:spacing w:after="0" w:line="2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40" w:space="180"/>
            <w:col w:w="2360"/>
          </w:cols>
          <w:pgMar w:left="240" w:top="131" w:right="279" w:bottom="1440" w:gutter="0" w:footer="0" w:header="0"/>
          <w:type w:val="continuous"/>
        </w:sectPr>
      </w:pPr>
    </w:p>
    <w:p>
      <w:pPr>
        <w:spacing w:after="0" w:line="60" w:lineRule="exact"/>
        <w:rPr>
          <w:sz w:val="20"/>
          <w:szCs w:val="20"/>
          <w:color w:val="auto"/>
        </w:rPr>
      </w:pPr>
    </w:p>
    <w:p>
      <w:pPr>
        <w:ind w:firstLine="436"/>
        <w:spacing w:after="0" w:line="306" w:lineRule="auto"/>
        <w:rPr>
          <w:sz w:val="20"/>
          <w:szCs w:val="20"/>
          <w:color w:val="auto"/>
        </w:rPr>
      </w:pPr>
      <w:r>
        <w:rPr>
          <w:rFonts w:ascii="Arial" w:cs="Arial" w:eastAsia="Arial" w:hAnsi="Arial"/>
          <w:sz w:val="16"/>
          <w:szCs w:val="16"/>
          <w:color w:val="auto"/>
        </w:rPr>
        <w:t>The aggregate market value of the Common Stock held by non-affiliates of the registrant, based upon the last sale price of the Common Stock reported on the NASDAQ Global Select Market on June 30, 2015, the last business day of the registrant's most recently completed second fiscal quarter, was $1,351,807,253. For purposes of this calculation, shares of Common Stock held by directors and officers have been treated as shares held by affiliates.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24, 2016, the registrant had 34,272,019 shares of Common Stock, $0.001 par value per share, outstanding.</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500" w:firstLine="439"/>
        <w:spacing w:after="0" w:line="259" w:lineRule="auto"/>
        <w:rPr>
          <w:sz w:val="20"/>
          <w:szCs w:val="20"/>
          <w:color w:val="auto"/>
        </w:rPr>
      </w:pPr>
      <w:r>
        <w:rPr>
          <w:rFonts w:ascii="Arial" w:cs="Arial" w:eastAsia="Arial" w:hAnsi="Arial"/>
          <w:sz w:val="18"/>
          <w:szCs w:val="18"/>
          <w:color w:val="auto"/>
        </w:rPr>
        <w:t>Part III of this Annual Report incorporates by reference information from the definitive Proxy Statement for the registrant's 2016 Annual Meeting of Shareholders which is expected to be filed with the Securities and Exchange Commission not later than 120 days after the registrant's fiscal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00" w:type="dxa"/>
            <w:vAlign w:val="bottom"/>
            <w:gridSpan w:val="10"/>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900" w:type="dxa"/>
            <w:vAlign w:val="bottom"/>
            <w:gridSpan w:val="10"/>
          </w:tcPr>
          <w:p>
            <w:pPr>
              <w:ind w:left="260"/>
              <w:spacing w:after="0"/>
              <w:rPr>
                <w:sz w:val="20"/>
                <w:szCs w:val="20"/>
                <w:color w:val="auto"/>
              </w:rPr>
            </w:pPr>
            <w:r>
              <w:rPr>
                <w:rFonts w:ascii="Arial" w:cs="Arial" w:eastAsia="Arial" w:hAnsi="Arial"/>
                <w:sz w:val="18"/>
                <w:szCs w:val="18"/>
                <w:b w:val="1"/>
                <w:bCs w:val="1"/>
                <w:color w:val="auto"/>
              </w:rPr>
              <w:t>PTC Therapeutics, Inc.</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540" w:type="dxa"/>
            <w:vAlign w:val="bottom"/>
            <w:gridSpan w:val="2"/>
            <w:vMerge w:val="restart"/>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PART I</w:t>
              </w:r>
            </w:hyperlink>
          </w:p>
        </w:tc>
        <w:tc>
          <w:tcPr>
            <w:tcW w:w="7780" w:type="dxa"/>
            <w:vAlign w:val="bottom"/>
            <w:gridSpan w:val="23"/>
            <w:vMerge w:val="restart"/>
          </w:tcPr>
          <w:p>
            <w:pPr>
              <w:spacing w:after="0"/>
              <w:rPr>
                <w:sz w:val="24"/>
                <w:szCs w:val="2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Page No.</w:t>
            </w:r>
          </w:p>
        </w:tc>
        <w:tc>
          <w:tcPr>
            <w:tcW w:w="0" w:type="dxa"/>
            <w:vAlign w:val="bottom"/>
          </w:tcPr>
          <w:p>
            <w:pPr>
              <w:spacing w:after="0"/>
              <w:rPr>
                <w:sz w:val="1"/>
                <w:szCs w:val="1"/>
                <w:color w:val="auto"/>
              </w:rPr>
            </w:pPr>
          </w:p>
        </w:tc>
      </w:tr>
      <w:tr>
        <w:trPr>
          <w:trHeight w:val="174"/>
        </w:trPr>
        <w:tc>
          <w:tcPr>
            <w:tcW w:w="540" w:type="dxa"/>
            <w:vAlign w:val="bottom"/>
            <w:tcBorders>
              <w:bottom w:val="single" w:sz="8" w:color="0000EE"/>
            </w:tcBorders>
            <w:gridSpan w:val="2"/>
            <w:vMerge w:val="continue"/>
          </w:tcPr>
          <w:p>
            <w:pPr>
              <w:spacing w:after="0"/>
              <w:rPr>
                <w:sz w:val="14"/>
                <w:szCs w:val="14"/>
                <w:color w:val="auto"/>
              </w:rPr>
            </w:pPr>
          </w:p>
        </w:tc>
        <w:tc>
          <w:tcPr>
            <w:tcW w:w="7780" w:type="dxa"/>
            <w:vAlign w:val="bottom"/>
            <w:gridSpan w:val="23"/>
            <w:vMerge w:val="continue"/>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Item 1. Business</w:t>
              </w:r>
            </w:hyperlink>
          </w:p>
        </w:tc>
        <w:tc>
          <w:tcPr>
            <w:tcW w:w="7140" w:type="dxa"/>
            <w:vAlign w:val="bottom"/>
            <w:gridSpan w:val="18"/>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Item 1A. Risk Factors</w:t>
              </w:r>
            </w:hyperlink>
          </w:p>
        </w:tc>
        <w:tc>
          <w:tcPr>
            <w:tcW w:w="676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57</w:t>
              </w:r>
            </w:hyperlink>
          </w:p>
        </w:tc>
        <w:tc>
          <w:tcPr>
            <w:tcW w:w="0" w:type="dxa"/>
            <w:vAlign w:val="bottom"/>
          </w:tcPr>
          <w:p>
            <w:pPr>
              <w:spacing w:after="0"/>
              <w:rPr>
                <w:sz w:val="1"/>
                <w:szCs w:val="1"/>
                <w:color w:val="auto"/>
              </w:rPr>
            </w:pPr>
          </w:p>
        </w:tc>
      </w:tr>
      <w:tr>
        <w:trPr>
          <w:trHeight w:val="196"/>
        </w:trPr>
        <w:tc>
          <w:tcPr>
            <w:tcW w:w="8320" w:type="dxa"/>
            <w:vAlign w:val="bottom"/>
            <w:gridSpan w:val="25"/>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 1B. Unresolved Staff Comments</w:t>
              </w:r>
            </w:hyperlink>
          </w:p>
        </w:tc>
        <w:tc>
          <w:tcPr>
            <w:tcW w:w="660" w:type="dxa"/>
            <w:vAlign w:val="bottom"/>
            <w:gridSpan w:val="3"/>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14"/>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 2. Properties</w:t>
              </w:r>
            </w:hyperlink>
          </w:p>
        </w:tc>
        <w:tc>
          <w:tcPr>
            <w:tcW w:w="5660" w:type="dxa"/>
            <w:vAlign w:val="bottom"/>
            <w:gridSpan w:val="11"/>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gridSpan w:val="10"/>
          </w:tcPr>
          <w:p>
            <w:pPr>
              <w:spacing w:after="0" w:line="196" w:lineRule="exact"/>
              <w:rPr>
                <w:rFonts w:ascii="Arial" w:cs="Arial" w:eastAsia="Arial" w:hAnsi="Arial"/>
                <w:sz w:val="18"/>
                <w:szCs w:val="18"/>
                <w:color w:val="0000EE"/>
                <w:w w:val="87"/>
              </w:rPr>
            </w:pPr>
            <w:hyperlink w:anchor="page111">
              <w:r>
                <w:rPr>
                  <w:rFonts w:ascii="Arial" w:cs="Arial" w:eastAsia="Arial" w:hAnsi="Arial"/>
                  <w:sz w:val="18"/>
                  <w:szCs w:val="18"/>
                  <w:color w:val="0000EE"/>
                  <w:w w:val="87"/>
                </w:rPr>
                <w:t>Item 3. Legal Proceedings</w:t>
              </w:r>
            </w:hyperlink>
          </w:p>
        </w:tc>
        <w:tc>
          <w:tcPr>
            <w:tcW w:w="6460" w:type="dxa"/>
            <w:vAlign w:val="bottom"/>
            <w:gridSpan w:val="15"/>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112">
              <w:r>
                <w:rPr>
                  <w:rFonts w:ascii="Arial" w:cs="Arial" w:eastAsia="Arial" w:hAnsi="Arial"/>
                  <w:sz w:val="18"/>
                  <w:szCs w:val="18"/>
                  <w:color w:val="0000EE"/>
                  <w:w w:val="91"/>
                </w:rPr>
                <w:t>PART II</w:t>
              </w:r>
            </w:hyperlink>
          </w:p>
        </w:tc>
        <w:tc>
          <w:tcPr>
            <w:tcW w:w="1260" w:type="dxa"/>
            <w:vAlign w:val="bottom"/>
            <w:tcBorders>
              <w:top w:val="single" w:sz="8" w:color="0000EE"/>
            </w:tcBorders>
            <w:gridSpan w:val="7"/>
          </w:tcPr>
          <w:p>
            <w:pPr>
              <w:spacing w:after="0"/>
              <w:rPr>
                <w:sz w:val="17"/>
                <w:szCs w:val="17"/>
                <w:color w:val="auto"/>
              </w:rPr>
            </w:pPr>
          </w:p>
        </w:tc>
        <w:tc>
          <w:tcPr>
            <w:tcW w:w="646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gridSpan w:val="25"/>
          </w:tcPr>
          <w:p>
            <w:pPr>
              <w:spacing w:after="0" w:line="196" w:lineRule="exact"/>
              <w:rPr>
                <w:rFonts w:ascii="Arial" w:cs="Arial" w:eastAsia="Arial" w:hAnsi="Arial"/>
                <w:sz w:val="18"/>
                <w:szCs w:val="18"/>
                <w:color w:val="0000EE"/>
                <w:w w:val="94"/>
              </w:rPr>
            </w:pPr>
            <w:hyperlink w:anchor="page112">
              <w:r>
                <w:rPr>
                  <w:rFonts w:ascii="Arial" w:cs="Arial" w:eastAsia="Arial" w:hAnsi="Arial"/>
                  <w:sz w:val="18"/>
                  <w:szCs w:val="18"/>
                  <w:color w:val="0000EE"/>
                  <w:w w:val="94"/>
                </w:rPr>
                <w:t>Item 5. Market for Registrant's Common Equity, Related Stockholder Matters and Issuers Purchases of Equity</w:t>
              </w:r>
            </w:hyperlink>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5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Securities</w:t>
              </w:r>
            </w:hyperlink>
          </w:p>
        </w:tc>
        <w:tc>
          <w:tcPr>
            <w:tcW w:w="580" w:type="dxa"/>
            <w:vAlign w:val="bottom"/>
            <w:gridSpan w:val="2"/>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109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gridSpan w:val="12"/>
          </w:tcPr>
          <w:p>
            <w:pPr>
              <w:spacing w:after="0" w:line="196" w:lineRule="exact"/>
              <w:rPr>
                <w:rFonts w:ascii="Arial" w:cs="Arial" w:eastAsia="Arial" w:hAnsi="Arial"/>
                <w:sz w:val="18"/>
                <w:szCs w:val="18"/>
                <w:color w:val="0000EE"/>
                <w:w w:val="87"/>
              </w:rPr>
            </w:pPr>
            <w:hyperlink w:anchor="page113">
              <w:r>
                <w:rPr>
                  <w:rFonts w:ascii="Arial" w:cs="Arial" w:eastAsia="Arial" w:hAnsi="Arial"/>
                  <w:sz w:val="18"/>
                  <w:szCs w:val="18"/>
                  <w:color w:val="0000EE"/>
                  <w:w w:val="87"/>
                </w:rPr>
                <w:t>Item 6. Selected Financial Data</w:t>
              </w:r>
            </w:hyperlink>
          </w:p>
        </w:tc>
        <w:tc>
          <w:tcPr>
            <w:tcW w:w="6100" w:type="dxa"/>
            <w:vAlign w:val="bottom"/>
            <w:gridSpan w:val="13"/>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gridSpan w:val="21"/>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Item 7. Management's Discussion and Analysis of Financial Condition and Results of Operations</w:t>
              </w:r>
            </w:hyperlink>
          </w:p>
        </w:tc>
        <w:tc>
          <w:tcPr>
            <w:tcW w:w="1480" w:type="dxa"/>
            <w:vAlign w:val="bottom"/>
            <w:gridSpan w:val="4"/>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gridSpan w:val="21"/>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Item 7A. Quantitative and Qualitative Disclosures about Market Risk</w:t>
              </w:r>
            </w:hyperlink>
          </w:p>
        </w:tc>
        <w:tc>
          <w:tcPr>
            <w:tcW w:w="1480" w:type="dxa"/>
            <w:vAlign w:val="bottom"/>
            <w:gridSpan w:val="4"/>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131</w:t>
              </w:r>
            </w:hyperlink>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17"/>
          </w:tcPr>
          <w:p>
            <w:pPr>
              <w:spacing w:after="0" w:line="196" w:lineRule="exact"/>
              <w:rPr>
                <w:rFonts w:ascii="Arial" w:cs="Arial" w:eastAsia="Arial" w:hAnsi="Arial"/>
                <w:sz w:val="18"/>
                <w:szCs w:val="18"/>
                <w:color w:val="0000EE"/>
                <w:w w:val="87"/>
              </w:rPr>
            </w:pPr>
            <w:hyperlink w:anchor="page135">
              <w:r>
                <w:rPr>
                  <w:rFonts w:ascii="Arial" w:cs="Arial" w:eastAsia="Arial" w:hAnsi="Arial"/>
                  <w:sz w:val="18"/>
                  <w:szCs w:val="18"/>
                  <w:color w:val="0000EE"/>
                  <w:w w:val="87"/>
                </w:rPr>
                <w:t>Item 8. Financial Statements and Supplementary Data</w:t>
              </w:r>
            </w:hyperlink>
          </w:p>
        </w:tc>
        <w:tc>
          <w:tcPr>
            <w:tcW w:w="1080" w:type="dxa"/>
            <w:vAlign w:val="bottom"/>
            <w:gridSpan w:val="2"/>
          </w:tcPr>
          <w:p>
            <w:pPr>
              <w:spacing w:after="0"/>
              <w:rPr>
                <w:sz w:val="17"/>
                <w:szCs w:val="17"/>
                <w:color w:val="auto"/>
              </w:rPr>
            </w:pPr>
          </w:p>
        </w:tc>
        <w:tc>
          <w:tcPr>
            <w:tcW w:w="3440" w:type="dxa"/>
            <w:vAlign w:val="bottom"/>
            <w:gridSpan w:val="6"/>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132</w:t>
              </w:r>
            </w:hyperlink>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gridSpan w:val="25"/>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Item 9. Changes in and Disagreements with Accountants on Accounting and Financial Disclosure</w:t>
              </w:r>
            </w:hyperlink>
          </w:p>
        </w:tc>
        <w:tc>
          <w:tcPr>
            <w:tcW w:w="660" w:type="dxa"/>
            <w:vAlign w:val="bottom"/>
            <w:gridSpan w:val="3"/>
          </w:tcPr>
          <w:p>
            <w:pPr>
              <w:jc w:val="right"/>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173</w:t>
              </w:r>
            </w:hyperlink>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3"/>
          </w:tcPr>
          <w:p>
            <w:pPr>
              <w:spacing w:after="0" w:line="196" w:lineRule="exact"/>
              <w:rPr>
                <w:rFonts w:ascii="Arial" w:cs="Arial" w:eastAsia="Arial" w:hAnsi="Arial"/>
                <w:sz w:val="18"/>
                <w:szCs w:val="18"/>
                <w:color w:val="0000EE"/>
                <w:w w:val="87"/>
              </w:rPr>
            </w:pPr>
            <w:hyperlink w:anchor="page176">
              <w:r>
                <w:rPr>
                  <w:rFonts w:ascii="Arial" w:cs="Arial" w:eastAsia="Arial" w:hAnsi="Arial"/>
                  <w:sz w:val="18"/>
                  <w:szCs w:val="18"/>
                  <w:color w:val="0000EE"/>
                  <w:w w:val="87"/>
                </w:rPr>
                <w:t>Item 9A. Controls and Procedures</w:t>
              </w:r>
            </w:hyperlink>
          </w:p>
        </w:tc>
        <w:tc>
          <w:tcPr>
            <w:tcW w:w="4460" w:type="dxa"/>
            <w:vAlign w:val="bottom"/>
            <w:gridSpan w:val="9"/>
          </w:tcPr>
          <w:p>
            <w:pPr>
              <w:spacing w:after="0"/>
              <w:rPr>
                <w:sz w:val="17"/>
                <w:szCs w:val="17"/>
                <w:color w:val="auto"/>
              </w:rPr>
            </w:pPr>
          </w:p>
        </w:tc>
        <w:tc>
          <w:tcPr>
            <w:tcW w:w="1460" w:type="dxa"/>
            <w:vAlign w:val="bottom"/>
            <w:gridSpan w:val="3"/>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173</w:t>
              </w:r>
            </w:hyperlink>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Item 9B. Other Information</w:t>
              </w:r>
            </w:hyperlink>
          </w:p>
        </w:tc>
        <w:tc>
          <w:tcPr>
            <w:tcW w:w="5920" w:type="dxa"/>
            <w:vAlign w:val="bottom"/>
            <w:gridSpan w:val="12"/>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174</w:t>
              </w:r>
            </w:hyperlink>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177">
              <w:r>
                <w:rPr>
                  <w:rFonts w:ascii="Arial" w:cs="Arial" w:eastAsia="Arial" w:hAnsi="Arial"/>
                  <w:sz w:val="18"/>
                  <w:szCs w:val="18"/>
                  <w:color w:val="0000EE"/>
                  <w:w w:val="94"/>
                </w:rPr>
                <w:t>PART III</w:t>
              </w:r>
            </w:hyperlink>
          </w:p>
        </w:tc>
        <w:tc>
          <w:tcPr>
            <w:tcW w:w="1280" w:type="dxa"/>
            <w:vAlign w:val="bottom"/>
            <w:tcBorders>
              <w:top w:val="single" w:sz="8" w:color="0000EE"/>
            </w:tcBorders>
            <w:gridSpan w:val="7"/>
          </w:tcPr>
          <w:p>
            <w:pPr>
              <w:spacing w:after="0"/>
              <w:rPr>
                <w:sz w:val="17"/>
                <w:szCs w:val="17"/>
                <w:color w:val="auto"/>
              </w:rPr>
            </w:pPr>
          </w:p>
        </w:tc>
        <w:tc>
          <w:tcPr>
            <w:tcW w:w="638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gridSpan w:val="18"/>
          </w:tcPr>
          <w:p>
            <w:pPr>
              <w:spacing w:after="0" w:line="196"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Item 10. Directors, Executive Officers and Corporate Governance</w:t>
              </w:r>
            </w:hyperlink>
          </w:p>
        </w:tc>
        <w:tc>
          <w:tcPr>
            <w:tcW w:w="3680" w:type="dxa"/>
            <w:vAlign w:val="bottom"/>
            <w:gridSpan w:val="7"/>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174</w:t>
              </w:r>
            </w:hyperlink>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3"/>
          </w:tcPr>
          <w:p>
            <w:pPr>
              <w:spacing w:after="0" w:line="196" w:lineRule="exact"/>
              <w:rPr>
                <w:rFonts w:ascii="Arial" w:cs="Arial" w:eastAsia="Arial" w:hAnsi="Arial"/>
                <w:sz w:val="18"/>
                <w:szCs w:val="18"/>
                <w:color w:val="0000EE"/>
                <w:w w:val="87"/>
              </w:rPr>
            </w:pPr>
            <w:hyperlink w:anchor="page178">
              <w:r>
                <w:rPr>
                  <w:rFonts w:ascii="Arial" w:cs="Arial" w:eastAsia="Arial" w:hAnsi="Arial"/>
                  <w:sz w:val="18"/>
                  <w:szCs w:val="18"/>
                  <w:color w:val="0000EE"/>
                  <w:w w:val="87"/>
                </w:rPr>
                <w:t>Item 11. Executive Compensation</w:t>
              </w:r>
            </w:hyperlink>
          </w:p>
        </w:tc>
        <w:tc>
          <w:tcPr>
            <w:tcW w:w="2240" w:type="dxa"/>
            <w:vAlign w:val="bottom"/>
            <w:gridSpan w:val="5"/>
          </w:tcPr>
          <w:p>
            <w:pPr>
              <w:spacing w:after="0"/>
              <w:rPr>
                <w:sz w:val="17"/>
                <w:szCs w:val="17"/>
                <w:color w:val="auto"/>
              </w:rPr>
            </w:pPr>
          </w:p>
        </w:tc>
        <w:tc>
          <w:tcPr>
            <w:tcW w:w="3680" w:type="dxa"/>
            <w:vAlign w:val="bottom"/>
            <w:gridSpan w:val="7"/>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175</w:t>
              </w:r>
            </w:hyperlink>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gridSpan w:val="24"/>
          </w:tcPr>
          <w:p>
            <w:pP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Item 12. Security Ownership of Certain Beneficial Owners and Management and Related Stockholder Matters</w:t>
              </w:r>
            </w:hyperlink>
          </w:p>
        </w:tc>
        <w:tc>
          <w:tcPr>
            <w:tcW w:w="560" w:type="dxa"/>
            <w:vAlign w:val="bottom"/>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175</w:t>
              </w:r>
            </w:hyperlink>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34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20"/>
          </w:tcPr>
          <w:p>
            <w:pPr>
              <w:spacing w:after="0" w:line="196" w:lineRule="exact"/>
              <w:rPr>
                <w:rFonts w:ascii="Arial" w:cs="Arial" w:eastAsia="Arial" w:hAnsi="Arial"/>
                <w:sz w:val="18"/>
                <w:szCs w:val="18"/>
                <w:color w:val="0000EE"/>
                <w:w w:val="87"/>
              </w:rPr>
            </w:pPr>
            <w:hyperlink w:anchor="page178">
              <w:r>
                <w:rPr>
                  <w:rFonts w:ascii="Arial" w:cs="Arial" w:eastAsia="Arial" w:hAnsi="Arial"/>
                  <w:sz w:val="18"/>
                  <w:szCs w:val="18"/>
                  <w:color w:val="0000EE"/>
                  <w:w w:val="87"/>
                </w:rPr>
                <w:t>Item 13. Certain Relationships and Related Transactions, and Director Independence</w:t>
              </w:r>
            </w:hyperlink>
          </w:p>
        </w:tc>
        <w:tc>
          <w:tcPr>
            <w:tcW w:w="18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175</w:t>
              </w:r>
            </w:hyperlink>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34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20"/>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Item 14. Principal Accountant Fees and Services</w:t>
              </w:r>
            </w:hyperlink>
          </w:p>
        </w:tc>
        <w:tc>
          <w:tcPr>
            <w:tcW w:w="2360" w:type="dxa"/>
            <w:vAlign w:val="bottom"/>
            <w:gridSpan w:val="5"/>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175</w:t>
              </w:r>
            </w:hyperlink>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PART IV</w:t>
              </w:r>
            </w:hyperlink>
          </w:p>
        </w:tc>
        <w:tc>
          <w:tcPr>
            <w:tcW w:w="490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gridSpan w:val="25"/>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Item 15. Exhibits and Financial Statement Schedules</w:t>
              </w:r>
            </w:hyperlink>
          </w:p>
        </w:tc>
        <w:tc>
          <w:tcPr>
            <w:tcW w:w="660" w:type="dxa"/>
            <w:vAlign w:val="bottom"/>
            <w:gridSpan w:val="3"/>
          </w:tcPr>
          <w:p>
            <w:pPr>
              <w:jc w:val="right"/>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175</w:t>
              </w:r>
            </w:hyperlink>
          </w:p>
        </w:tc>
        <w:tc>
          <w:tcPr>
            <w:tcW w:w="0" w:type="dxa"/>
            <w:vAlign w:val="bottom"/>
          </w:tcPr>
          <w:p>
            <w:pPr>
              <w:spacing w:after="0"/>
              <w:rPr>
                <w:sz w:val="1"/>
                <w:szCs w:val="1"/>
                <w:color w:val="auto"/>
              </w:rPr>
            </w:pPr>
          </w:p>
        </w:tc>
      </w:tr>
      <w:tr>
        <w:trPr>
          <w:trHeight w:val="20"/>
        </w:trPr>
        <w:tc>
          <w:tcPr>
            <w:tcW w:w="1080" w:type="dxa"/>
            <w:vAlign w:val="bottom"/>
            <w:gridSpan w:val="6"/>
            <w:shd w:val="clear" w:color="auto" w:fill="0000EE"/>
          </w:tcPr>
          <w:p>
            <w:pPr>
              <w:spacing w:after="0" w:line="20" w:lineRule="exact"/>
              <w:rPr>
                <w:sz w:val="1"/>
                <w:szCs w:val="1"/>
                <w:color w:val="auto"/>
              </w:rPr>
            </w:pPr>
          </w:p>
        </w:tc>
        <w:tc>
          <w:tcPr>
            <w:tcW w:w="2640" w:type="dxa"/>
            <w:vAlign w:val="bottom"/>
            <w:gridSpan w:val="10"/>
            <w:shd w:val="clear" w:color="auto" w:fill="0000EE"/>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16"/>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SIGNATURES</w:t>
              </w:r>
            </w:hyperlink>
          </w:p>
        </w:tc>
        <w:tc>
          <w:tcPr>
            <w:tcW w:w="4600" w:type="dxa"/>
            <w:vAlign w:val="bottom"/>
            <w:gridSpan w:val="9"/>
          </w:tcPr>
          <w:p>
            <w:pPr>
              <w:spacing w:after="0"/>
              <w:rPr>
                <w:sz w:val="17"/>
                <w:szCs w:val="17"/>
                <w:color w:val="auto"/>
              </w:rPr>
            </w:pPr>
          </w:p>
        </w:tc>
        <w:tc>
          <w:tcPr>
            <w:tcW w:w="660" w:type="dxa"/>
            <w:vAlign w:val="bottom"/>
            <w:gridSpan w:val="3"/>
          </w:tcPr>
          <w:p>
            <w:pPr>
              <w:jc w:val="right"/>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181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ind w:right="100" w:firstLine="348"/>
        <w:spacing w:after="0" w:line="303" w:lineRule="auto"/>
        <w:rPr>
          <w:sz w:val="20"/>
          <w:szCs w:val="20"/>
          <w:color w:val="auto"/>
        </w:rPr>
      </w:pPr>
      <w:r>
        <w:rPr>
          <w:rFonts w:ascii="Arial" w:cs="Arial" w:eastAsia="Arial" w:hAnsi="Arial"/>
          <w:sz w:val="15"/>
          <w:szCs w:val="15"/>
          <w:color w:val="auto"/>
        </w:rPr>
        <w:t>This Annual Report on Form10-K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"estimate,"</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239" w:lineRule="exact"/>
        <w:rPr>
          <w:sz w:val="20"/>
          <w:szCs w:val="20"/>
          <w:color w:val="auto"/>
        </w:rPr>
      </w:pPr>
    </w:p>
    <w:p>
      <w:pPr>
        <w:ind w:left="1080" w:hanging="532"/>
        <w:spacing w:after="0" w:line="298"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work with the United States Food and Drug Administration, or FDA, to resolve the matters set forth in the Refuse to File letter we received in connection with our New Drug Application, or NDA, for Translarna™ (ataluren) for the treatment of Duchenne muscular dystrophy, or nmDMD, including with respect to timing and outcome, such as, among other things, whether we will be required to perform additional clinical and non-clinical trials or analyses at significant cost and whether such trials, if successful, may enable FDA review of a NDA submission by us;</w:t>
      </w:r>
    </w:p>
    <w:p>
      <w:pPr>
        <w:spacing w:after="0" w:line="193" w:lineRule="exact"/>
        <w:rPr>
          <w:rFonts w:ascii="Arial" w:cs="Arial" w:eastAsia="Arial" w:hAnsi="Arial"/>
          <w:sz w:val="16"/>
          <w:szCs w:val="16"/>
          <w:color w:val="auto"/>
        </w:rPr>
      </w:pPr>
    </w:p>
    <w:p>
      <w:pPr>
        <w:ind w:left="1080" w:right="240" w:hanging="532"/>
        <w:spacing w:after="0" w:line="298"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submitted and planned regulatory submissions, including with respect to timing and outcome of regulatory review and determinations in connection with our recent submissions with the EMA related to our marketing authorization for the treatment of nmDMD and our submission with the EMA related to a variation to our marketing authorization to include Translarna as a treatment for nonsense mutation cystic fibrosis, or nmCF as well as our other submissions with regulatory bodies outside of the European Economic Area, or EEA;</w:t>
      </w:r>
    </w:p>
    <w:p>
      <w:pPr>
        <w:spacing w:after="0" w:line="180"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conduct of our clinical trials and studies of Translarna for the treatment of cystic fibrosis, mucopolysaccharidosis type I, or MPS I, aniridia, and Dravet syndrome/CDKL5, each caused by nonsense mutations, as well as our studies in spinal muscular atrophy and our cancer stem cell program, including statements regarding the timing of initiation, enrollment and completion of the trials and the period during which the results of the trials will become available;</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Translarna;</w:t>
      </w:r>
    </w:p>
    <w:p>
      <w:pPr>
        <w:spacing w:after="0" w:line="252" w:lineRule="exact"/>
        <w:rPr>
          <w:rFonts w:ascii="Arial" w:cs="Arial" w:eastAsia="Arial" w:hAnsi="Arial"/>
          <w:sz w:val="18"/>
          <w:szCs w:val="18"/>
          <w:color w:val="auto"/>
        </w:rPr>
      </w:pPr>
    </w:p>
    <w:p>
      <w:pPr>
        <w:jc w:val="both"/>
        <w:ind w:left="1080" w:right="26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Translarna in general, and specifically as a treatment for nmDMD, including the timing of such commercialization and our ability to successfully negotiate adequate pricing and reimbursement processes on a timely basis, or at all, in the countries in which we may obtain regulatory approval, including the countries in the European Economic Area;</w:t>
      </w:r>
    </w:p>
    <w:p>
      <w:pPr>
        <w:spacing w:after="0" w:line="207" w:lineRule="exact"/>
        <w:rPr>
          <w:rFonts w:ascii="Arial" w:cs="Arial" w:eastAsia="Arial" w:hAnsi="Arial"/>
          <w:sz w:val="18"/>
          <w:szCs w:val="18"/>
          <w:color w:val="auto"/>
        </w:rPr>
      </w:pPr>
    </w:p>
    <w:p>
      <w:pPr>
        <w:ind w:left="1080" w:right="26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patients and healthcare professionals to access Translarna through alternative means if pricing and reimbursement negotiations in the applicable territory do not have a positive outcome, including whether Translarna may be accessed through a reimbursed importation pathway provided under German law and whether such pathway will minimize any access issues for German patients while maintaining a sustainable price;</w:t>
      </w:r>
    </w:p>
    <w:p>
      <w:pPr>
        <w:spacing w:after="0" w:line="210"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additional marketing authorizations for Translarna and our other product candidates, and the ability of Translarna and our other product candidates to meet existing or future regulatory standards;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early access programs for Translarna for the treatment of nmDMD on adequate terms;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Translarna, including the size of eligible patient populations and our ability to identify such patients;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the approved product label of Translarna for the treatment of nmDMD;</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scope of our commercial infrastructure expansion, including the growth of our international presence in Europe and in other territories;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Translarna and other product candidates, including our ability to earn a profit from sales or licenses of Translarna for the treatment of nmDMD;</w:t>
      </w:r>
    </w:p>
    <w:p>
      <w:pPr>
        <w:spacing w:after="0" w:line="212"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 including the ability of our third party manufacturers to manufacture and deliver Translarna in commercially sufficient quantities and the ability of distributors to process orders in a timely manner and satisfy their other obligations to us;</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Translarna and our other product candidates that are sufficient to meet clinical trial and commercial launch requirements;</w:t>
      </w:r>
    </w:p>
    <w:p>
      <w:pPr>
        <w:spacing w:after="0" w:line="199" w:lineRule="exact"/>
        <w:rPr>
          <w:rFonts w:ascii="Arial" w:cs="Arial" w:eastAsia="Arial" w:hAnsi="Arial"/>
          <w:sz w:val="18"/>
          <w:szCs w:val="18"/>
          <w:color w:val="auto"/>
        </w:rPr>
      </w:pPr>
    </w:p>
    <w:p>
      <w:pPr>
        <w:ind w:left="1080" w:right="9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pursue development of Translarna for additional indications other than nmDMD and cystic fibrosis, MPS I, aniridia, and Dravet/CDKL5, caused by nonsense mutations;</w:t>
      </w:r>
    </w:p>
    <w:p>
      <w:pPr>
        <w:spacing w:after="0" w:line="212" w:lineRule="exact"/>
        <w:rPr>
          <w:rFonts w:ascii="Arial" w:cs="Arial" w:eastAsia="Arial" w:hAnsi="Arial"/>
          <w:sz w:val="18"/>
          <w:szCs w:val="18"/>
          <w:color w:val="auto"/>
        </w:rPr>
      </w:pPr>
    </w:p>
    <w:p>
      <w:pPr>
        <w:ind w:left="1080" w:right="14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the marketing authorization of Translarna for the treatment of nmDMD in the EEA, which is conditioned upon, among other things, our completed submission of the final report, which we submitted to the EMA in January 2016, including additional efficacy and safety data from ACT DMD and which is subject to annual review and renewal by the European Commission following the EMA's reassessment of the risk benefit balance of the authorization;</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our earlier stage programs, including our cancer stem cell program;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pursue research and development of other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advantages of Translarna;</w:t>
      </w:r>
    </w:p>
    <w:p>
      <w:pPr>
        <w:spacing w:after="0" w:line="238"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estimates regarding expenses, future revenues, capital requirements and needs for additional financing, including our ability to maintain the level of our expenses consistent with our internal budgets and forecasts and to secure additional funds on favorable terms or at all;</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 and</w:t>
      </w:r>
    </w:p>
    <w:p>
      <w:pPr>
        <w:spacing w:after="0" w:line="252" w:lineRule="exact"/>
        <w:rPr>
          <w:rFonts w:ascii="Arial" w:cs="Arial" w:eastAsia="Arial" w:hAnsi="Arial"/>
          <w:sz w:val="18"/>
          <w:szCs w:val="18"/>
          <w:color w:val="auto"/>
        </w:rPr>
      </w:pPr>
    </w:p>
    <w:p>
      <w:pPr>
        <w:ind w:left="1080" w:right="28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respect to the development and regulatory status of our product candidates and program directed against spinal muscular atrophy in collaboration with F. Hoffmann La Roche Ltd and Hoffmann La Roche Inc., which we refer to collectively as Roche, and the Spinal Muscular Atrophy Foundation, or the SMA Foundation, and our estimates regarding future revenues from achievement of milestones in that program.</w:t>
      </w:r>
    </w:p>
    <w:p>
      <w:pPr>
        <w:spacing w:after="0" w:line="197"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may not actually achieve the plans, intentions or expectations disclosed in our forward looking statements, and you should not place undue reliance on our forward looking statements. Actual results or events could differ materially from the plans, intentions and expectations disclosed in the forward looking statements we make. We have included important factors in the cautionary statements included in this Annual Report on Form 10-K, particularly in Part I, Item 1A. Risk Factors that we believe could cause actual results or events to differ materially from the forward looking statements that we make.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forward looking statements do not reflect the potential impact of any future acquisitions, mergers, dispositions, joint ventures or investments we may make.</w:t>
      </w:r>
    </w:p>
    <w:p>
      <w:pPr>
        <w:spacing w:after="0" w:line="248" w:lineRule="exact"/>
        <w:rPr>
          <w:sz w:val="20"/>
          <w:szCs w:val="20"/>
          <w:color w:val="auto"/>
        </w:rPr>
      </w:pPr>
    </w:p>
    <w:p>
      <w:pPr>
        <w:jc w:val="both"/>
        <w:ind w:right="140" w:firstLine="345"/>
        <w:spacing w:after="0" w:line="306" w:lineRule="auto"/>
        <w:rPr>
          <w:sz w:val="20"/>
          <w:szCs w:val="20"/>
          <w:color w:val="auto"/>
        </w:rPr>
      </w:pPr>
      <w:r>
        <w:rPr>
          <w:rFonts w:ascii="Arial" w:cs="Arial" w:eastAsia="Arial" w:hAnsi="Arial"/>
          <w:sz w:val="16"/>
          <w:szCs w:val="16"/>
          <w:color w:val="auto"/>
        </w:rPr>
        <w:t>You should read this Annual Report on Form 10-K and the documents that we have filed as exhibits to this Annual Report on Form 10-K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this Annual Report on Form 10-K, unless otherwise stated or the context otherwise requires, references to "PTC," "PTC Therapeutics," "we," "us," "our," "the Company," and similar references refer to PTC Therapeutics, Inc. and, where appropriate, its subsidiaries. The trademarks, trade names and service marks appearing in this Annual Report on Form 10-K are the property of their respective owners.</w:t>
      </w:r>
    </w:p>
    <w:p>
      <w:pPr>
        <w:spacing w:after="0" w:line="194"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All website addresses given in this Annual Report on Form 10-K are for information only and are not intended to be an active link or to incorporate any website information into this document.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are a global biopharmaceutical company focused on the discovery, development and commercialization of orally administered, small molecule therapeutics targeting an area of RNA biology we refer to as post-transcriptional control. The letters "PTC" in our corporate name are an acronym for post-transcriptional control processes, which are the regulatory events that occur in cells during and after a messenger RNA is copied from DNA through the transcription process. We have discovered all of our compounds currently under development using our proprietary technologies. We plan to continue to develop these compounds both on our own and through selective collaboration arrangements with leading pharmaceutical and biotechnology companies. We believe that systematically targeting post-transcriptional control processes represents an unexploited approach to drug discovery and development. Our internally discovered pipeline addresses multiple therapeutic areas, including rare disorders and oncology.</w:t>
      </w:r>
    </w:p>
    <w:p>
      <w:pPr>
        <w:spacing w:after="0" w:line="174" w:lineRule="exact"/>
        <w:rPr>
          <w:sz w:val="20"/>
          <w:szCs w:val="20"/>
          <w:color w:val="auto"/>
        </w:rPr>
      </w:pPr>
    </w:p>
    <w:p>
      <w:pPr>
        <w:ind w:right="360" w:firstLine="351"/>
        <w:spacing w:after="0" w:line="261" w:lineRule="auto"/>
        <w:rPr>
          <w:sz w:val="20"/>
          <w:szCs w:val="20"/>
          <w:color w:val="auto"/>
        </w:rPr>
      </w:pPr>
      <w:r>
        <w:rPr>
          <w:rFonts w:ascii="Arial" w:cs="Arial" w:eastAsia="Arial" w:hAnsi="Arial"/>
          <w:sz w:val="16"/>
          <w:szCs w:val="16"/>
          <w:color w:val="auto"/>
        </w:rPr>
        <w:t>Our lead product, Translarna</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(ataluren) received marketing authorization from the European Commission, or EC, in August 2014 for the treatment of nmDMD in ambulatory patients age 5 years and over in the 31 member states of the European Economic Area, or EEA. nmDMD is a rare, life threatening disorder. The marketing authorization was primarily based upon the safety and efficacy results of our 48-week, 174-patient Phase 2b double-blind, placebo controlled clinical trial evaluating the long-term safety and efficacy of Translarna in patients with nmDMD completed in 2009, or the Phase 2b trial.</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marketing authorization in the EEA is subject to annual review and renewal by the European Commission following reassessment by the European Medicines Agency, or EMA, of the risk-benefit balance of the authorization, which we refer to as the annual EMA reassessment. Our marketing authorization was further conditioned on our ability to complete our global, confirmatory Phase 3 clinical trial in nmDMD, which we refer to as ACT DMD, and submit the final report, including additional efficacy and safety data from the trial. We submitted this final report to the EMA in January 2016 and we have requested that the condition to our marketing authorization be removed and that a full marketing authorization be granted. We expect that the EMA's Committee for Medicinal Products for Human Use, or CHMP, will issue a recommendation regarding this request in mid-2016. See "Item 1. Business—Regulation in the European Union" and "Risk Factors—Risks Related to Regulatory Approval of our Product and our Product Candidates" for further detail regarding the annual EMA reassessment, including a description of the risk-benefit balance.</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June 2014, we initiated a reimbursed expanded access program, or EAP program, for Translarna for nmDMD patients in selected territories in the EEA and recorded our first sales of Translarna in the third quarter of 2014 pursuant to the EAP program. In December 2014, we recorded our first commercial sales in Germany. As of the date of this filing, Translarna is available in 23 countries on a commercial basis or pursuant to the EAP program. We expect to expand our launch activities across the EEA pursuant to the marketing authorization granted by the EMA throughout 2016 and future years, subject to continued renewal of our marketing authorization following annual EMA reassessments and successful completion of pricing and reimbursement negotiations. Concurrently, we plan to continue to pursue EAP programs in select countries where those mechanisms exist, both within the EEA and in other countries.</w:t>
      </w:r>
    </w:p>
    <w:p>
      <w:pPr>
        <w:spacing w:after="0" w:line="174"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disclosed on the morning of February 23, 2016, on the evening of February 22, 2016, we received a Refuse to File letter from the United States Food and Drug Administration, or FDA, regarding our New Drug Application, or NDA, for Translarna for the treatment of nonsense mutation Duchenne muscular dystrophy, or nmDMD. The FDA stated in the Refuse to File letter that our NDA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was not sufficiently complete to permit a substantive review. Specifically, we were notified in the letter that, in the view of the FDA, both the Phase 2b and Phase 3 ACT DMD trials were negative and do not provide substantial evidence of effectiveness. Additionally, the FDA stated that we had proposed a post-hoc adjustment of ACT DMD that eliminates data from a majority of enrolled patients. We need further discussion with FDA to understand their current perspective on our subgroup analysis. In addition, the FDA noted that our NDA does not contain adequate information regarding the abuse potential of Translarna. While other comments and requests are noted in the letter as items to be addressed if the NDA is resubmitted, the FDA specified that they were not related to its refusal to file our NDA. See "Item 1. Business—Marketing authorization matters for Translarna in nonsense mutation Duchenne muscular dystrophy—United States" and "Item 1A. Risk Factors—Risks Related to Regulatory Approval of our Product and our Product Candidates" for further detail regarding the Refuse to File letter and the related risks to our business.</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October 2015, we announced results from ACT DMD. In the overall intent-to-treat, or ITT, study population, the primary endpoint of change from baseline at week 48 in the 6-minute walk test or 6MWT, which we also refer to as 6-minute walk distance, or 6MWD, showed a 15 meter benefit in favor of Translarna, which did not meet statistical significance (p=0.213). However, we believe that the results of ACT DMD and the totality of clinical data across our two large, randomized, placebo-controlled trials (ACT DMD and our prior Phase 2b trial, Study 007), provide substantial evidence of the effectiveness of Translarna and demonstrate a clinically meaningful benefit of Translarna for the treatment of nmDMD. Importantly, a benefit of 47 meters (nominal p=0.007) was observed in the pre-specified patient population with baseline 6MWD of 300 to 400 meters, which is in line with our prior experience in the Phase 2b trial and is consistent with the evolving understanding of the natural history of the 6MWT in DMD patients. Translarna also showed a benefit over placebo in the 300 to 400 meter baseline 6MWD population across key secondary and tertiary endpoints, including timed function tests (10 meter run/walk, four stair climb, four stair descend) and the North Star Ambulatory Assessment test. In addition, a pre-specified meta-analysis of combined data from ACT DMD and Phase 2b ambulatory decline phase patients, involving a total of 291 patients, demonstrated a statistically significant benefit in favor of Translarna in the primary endpoint of 21 meters (p = 0.015) and in key secondary endpoints. The Phase 2b ambulatory decline phase patients includes the patients from our randomized, double-blind, placebo controlled, Phase 2b clinical trial in patients with nmDMD who would have met the enrollment criteria of ACT DMD.</w:t>
      </w:r>
    </w:p>
    <w:p>
      <w:pPr>
        <w:spacing w:after="0" w:line="17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continue to believe that the results of ACT DMD and the totality of clinical data across our two large, randomized, placebo-controlled trials (ACT DMD and our prior Phase 2b trial, Study 007), including pre-specified analyses as well as retrospective and subgroup analyses that we have performed, provide strong support for concluding that Translarna is active and showed clinically meaningful benefits over placebo in these trials. However, we did not achieve the primary efficacy endpoint in either trial with the pre specified level of statistical significance and, as noted above, on February 22, 2016, we received a Refuse to File letter from the FDA regarding our NDA for Translarna for the treatment of nmDMD. There is also substantial risk that the EMA and regulators in other territories may not agree with our interpretation of the results of ACT DMD and the totality of clinical data from our trials. For further discussion of ACT DMD, see "Item 1. Business—Completed clinical trials of Translarna in nonsense mutation Duchenne muscular dystrophy." See "Item 1A. Risk Factors—Risks Related to the Development and Commercialization of our Product and our Product Candidates" for further detail regarding how ACT DMD results could impact our ability to commercialize Translarna.</w:t>
      </w:r>
    </w:p>
    <w:p>
      <w:pPr>
        <w:spacing w:after="0" w:line="17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During the fourth quarter of 2015, we announced that enrollment was completed for our global, confirmatory Phase 3 clinical trial of Translarna for the treatment of cystic fibrosis caused by nonsense mutations, or nmCF. We refer to this trial as ACT CF. We anticipate top line data from ACT CF will be available in early 2017.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During the third quarter of 2015, we submitted a variation to our marketing authorization of Translarna in the EEA, described above, to request approval of the addition of Translarna for the treatment of nmCF. We are currently responding to the CHMP's request for supplementary information as part of the CHMP's review process and expect a recommendation from the CHMP in mid-2016. Our variation submission is primarily based upon the safety and efficacy results of our randomized, double-blind, placebo controlled, Phase 3 clinical trial evaluating the long-term safety and efficacy of Translarna in patients with nmCF completed in 2011, which we refer to as our prior Phase 3 trial. We believe that the collective data from our prior Phase 3 trial, including retrospective and subgroup analyses that we have performed, provide strong support for concluding that Translarna was active and showed clinically meaningful improvements over placebo, however, we did not achieve the primary efficacy endpoint in this trial. Approval of the variation to our marketing authorization will depend on the EMA's assessment of the relative benefits and risks of approval. We may not be able to demonstrate the required relative risk-benefit profile and there is substantial risk that the EMA will not grant us a variation approving Translarna for the treatment of nmCF. If approved, we expect that the EMA will require us, as a post-approval measure, to provide comprehensive clinical data from ACT CF to the EMA. In addition, such authorization, if granted, will continue to be subject to annual review and renewal by the European Commission, following reassessment by the EMA, unless and until we are granted a marketing authorization no longer subject to specific conditions for our primary marketing authorization in the EEA for Translarna, which we refer to as a "full marketing authorization". See "Item 1. Business—Regulation in the European Union" for further detail regarding the variation process and "Risk Factors—Risks Related to Regulatory Approval of our Product and Product Candidates" for further detail regarding the annual EMA reassessment, including a description of the risk benefit balance.</w:t>
      </w:r>
    </w:p>
    <w:p>
      <w:pPr>
        <w:spacing w:after="0" w:line="399"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Based on its understood mechanism of action, we believe that Translarna may have benefit in the treatment of patients with any genetic disorder that arises as a result of a nonsense mutation. We are pursuing proof-of-concept studies for Translarna in additional indications: mucopolysaccharidosis type I caused by nonsense mutation, or nmMPS I, nonsense mutation aniridia, and nonsense mutation Dravet syndrome/CDKL5. See "Business—Translarna for additional indications", for additional information on these studies.</w:t>
      </w:r>
    </w:p>
    <w:p>
      <w:pPr>
        <w:spacing w:after="0" w:line="19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hold worldwide commercialization rights to Translarna for all indications in all territories. The EMA has designated Translarna as an orphan medicinal product and the FDA has granted orphan drug designation to Translarna for the treatment of CF, DMD, MPS I, and aniridia.</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continue to advance the development of our spinal muscular atrophy, or SMA, collaboration with F. Hoffman-La Roche Ltd and Hoffman-La Roche Inc., which we refer to collectively as Roche, and the Spinal Muscular Atrophy Foundation, or SMA Foundation. Two compounds are currently in clinical development within the SMA program, RG7800 and RG7916. The most advanced compound, RG7800, is the subject of a Phase 2 randomized, double-blind, placebo-controlled trial called Moonfish in adult and pediatric patients with SMA. Dosing in the Moonfish trial was suspended in April 2015 and the trial was placed on clinical hold to investigate a non-clinical safety finding observed in a longer-term animal study. The initiation of a Phase 1 study for RG7916 in healthy volunteers to investigate the safety, tolerability, pharmacokinetics and pharmacodynamics was announced in January 2016. Upon completion of this study, we and our collaboration partners expect to utilize data from this Phase 1 study to compare the profiles of the RG7800 and RG7916 compounds to determine the best path forward for our SMA program. See "Business—Spinal Muscular Atrophy Program", for additional information on these studies.</w:t>
      </w:r>
    </w:p>
    <w:p>
      <w:pPr>
        <w:spacing w:after="0" w:line="17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addition, we have a pipeline of product candidates that are in early clinical and preclinical development. Our cancer stem cell program targeting chemotherapy resistant cancers began Phase 1 clinical study in the first half of 2015. Our preclinical and discovery programs are focused on the development of new treatments for multiple therapeutic areas, including neuromuscular disease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oncology. We have discovered all of our compounds currently under development using our proprietary technologies. We plan to continue to develop these compounds both on our own and through selective collaboration arrangements with leading pharmaceutical and biotechnology companies.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programs</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following table summarizes key information about our most advanced product development programs that are being developed by us, or in collaboration with other pharmaceutical companies or independent investigators. All of the compounds in these programs are new chemical entities that we identified using our proprietary technologies.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20" w:type="dxa"/>
            <w:vAlign w:val="bottom"/>
            <w:gridSpan w:val="4"/>
          </w:tcPr>
          <w:p>
            <w:pPr>
              <w:spacing w:after="0"/>
              <w:rPr>
                <w:sz w:val="20"/>
                <w:szCs w:val="20"/>
                <w:color w:val="auto"/>
              </w:rPr>
            </w:pPr>
            <w:r>
              <w:rPr>
                <w:rFonts w:ascii="Arial" w:cs="Arial" w:eastAsia="Arial" w:hAnsi="Arial"/>
                <w:sz w:val="14"/>
                <w:szCs w:val="14"/>
                <w:b w:val="1"/>
                <w:bCs w:val="1"/>
                <w:color w:val="auto"/>
              </w:rPr>
              <w:t>Program</w:t>
            </w:r>
          </w:p>
        </w:tc>
        <w:tc>
          <w:tcPr>
            <w:tcW w:w="240" w:type="dxa"/>
            <w:vAlign w:val="bottom"/>
          </w:tcPr>
          <w:p>
            <w:pPr>
              <w:spacing w:after="0"/>
              <w:rPr>
                <w:sz w:val="14"/>
                <w:szCs w:val="14"/>
                <w:color w:val="auto"/>
              </w:rPr>
            </w:pPr>
          </w:p>
        </w:tc>
        <w:tc>
          <w:tcPr>
            <w:tcW w:w="4380" w:type="dxa"/>
            <w:vAlign w:val="bottom"/>
          </w:tcPr>
          <w:p>
            <w:pPr>
              <w:ind w:left="1620"/>
              <w:spacing w:after="0"/>
              <w:rPr>
                <w:sz w:val="20"/>
                <w:szCs w:val="20"/>
                <w:color w:val="auto"/>
              </w:rPr>
            </w:pPr>
            <w:r>
              <w:rPr>
                <w:rFonts w:ascii="Arial" w:cs="Arial" w:eastAsia="Arial" w:hAnsi="Arial"/>
                <w:sz w:val="14"/>
                <w:szCs w:val="14"/>
                <w:b w:val="1"/>
                <w:bCs w:val="1"/>
                <w:color w:val="auto"/>
              </w:rPr>
              <w:t>Development status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Translarna for nmDMD</w:t>
            </w:r>
          </w:p>
        </w:tc>
        <w:tc>
          <w:tcPr>
            <w:tcW w:w="4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Refuse to File letter received by the FDA (Feb 2016)</w:t>
            </w: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Marketing authorization granted in the EEA(1)</w:t>
            </w:r>
          </w:p>
        </w:tc>
        <w:tc>
          <w:tcPr>
            <w:tcW w:w="0" w:type="dxa"/>
            <w:vAlign w:val="bottom"/>
          </w:tcPr>
          <w:p>
            <w:pPr>
              <w:spacing w:after="0"/>
              <w:rPr>
                <w:sz w:val="1"/>
                <w:szCs w:val="1"/>
                <w:color w:val="auto"/>
              </w:rPr>
            </w:pPr>
          </w:p>
        </w:tc>
      </w:tr>
      <w:tr>
        <w:trPr>
          <w:trHeight w:val="424"/>
        </w:trPr>
        <w:tc>
          <w:tcPr>
            <w:tcW w:w="4520" w:type="dxa"/>
            <w:vAlign w:val="bottom"/>
            <w:gridSpan w:val="4"/>
          </w:tcPr>
          <w:p>
            <w:pPr>
              <w:spacing w:after="0"/>
              <w:rPr>
                <w:sz w:val="20"/>
                <w:szCs w:val="20"/>
                <w:color w:val="auto"/>
              </w:rPr>
            </w:pPr>
            <w:r>
              <w:rPr>
                <w:rFonts w:ascii="Arial" w:cs="Arial" w:eastAsia="Arial" w:hAnsi="Arial"/>
                <w:sz w:val="18"/>
                <w:szCs w:val="18"/>
                <w:b w:val="1"/>
                <w:bCs w:val="1"/>
                <w:color w:val="auto"/>
              </w:rPr>
              <w:t>Translarna for nmCF</w:t>
            </w: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w w:val="95"/>
              </w:rPr>
              <w:t>•  Confirmatory Phase 3 ACT CF trial ongoing (enrollment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w w:val="95"/>
              </w:rPr>
              <w:t>•  Marketing authorization variation submitted to the EMA;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80" w:type="dxa"/>
            <w:vAlign w:val="bottom"/>
          </w:tcPr>
          <w:p>
            <w:pPr>
              <w:ind w:left="180"/>
              <w:spacing w:after="0"/>
              <w:rPr>
                <w:sz w:val="20"/>
                <w:szCs w:val="20"/>
                <w:color w:val="auto"/>
              </w:rPr>
            </w:pPr>
            <w:r>
              <w:rPr>
                <w:rFonts w:ascii="Arial" w:cs="Arial" w:eastAsia="Arial" w:hAnsi="Arial"/>
                <w:sz w:val="18"/>
                <w:szCs w:val="18"/>
                <w:color w:val="auto"/>
                <w:w w:val="91"/>
              </w:rPr>
              <w:t>PTC responding to request for supplementary information</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Translarna for nmMPS I</w:t>
            </w:r>
          </w:p>
        </w:tc>
        <w:tc>
          <w:tcPr>
            <w:tcW w:w="4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Pursuing Phase 2 proof-of-concept study</w:t>
            </w:r>
          </w:p>
        </w:tc>
        <w:tc>
          <w:tcPr>
            <w:tcW w:w="0" w:type="dxa"/>
            <w:vAlign w:val="bottom"/>
          </w:tcPr>
          <w:p>
            <w:pPr>
              <w:spacing w:after="0"/>
              <w:rPr>
                <w:sz w:val="1"/>
                <w:szCs w:val="1"/>
                <w:color w:val="auto"/>
              </w:rPr>
            </w:pPr>
          </w:p>
        </w:tc>
      </w:tr>
      <w:tr>
        <w:trPr>
          <w:trHeight w:val="431"/>
        </w:trPr>
        <w:tc>
          <w:tcPr>
            <w:tcW w:w="4520" w:type="dxa"/>
            <w:vAlign w:val="bottom"/>
            <w:gridSpan w:val="4"/>
          </w:tcPr>
          <w:p>
            <w:pPr>
              <w:spacing w:after="0"/>
              <w:rPr>
                <w:sz w:val="20"/>
                <w:szCs w:val="20"/>
                <w:color w:val="auto"/>
              </w:rPr>
            </w:pPr>
            <w:r>
              <w:rPr>
                <w:rFonts w:ascii="Arial" w:cs="Arial" w:eastAsia="Arial" w:hAnsi="Arial"/>
                <w:sz w:val="18"/>
                <w:szCs w:val="18"/>
                <w:b w:val="1"/>
                <w:bCs w:val="1"/>
                <w:color w:val="auto"/>
              </w:rPr>
              <w:t>Translarna for nonsense mutation aniridia</w:t>
            </w: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  Pursuing Phase 2 proof-of-concept study</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Translarna for nonsense mutation Dravet</w:t>
            </w:r>
          </w:p>
        </w:tc>
        <w:tc>
          <w:tcPr>
            <w:tcW w:w="4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Pursuing Phase 2 proof-of-concept study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syndrome/CDKL5</w:t>
            </w:r>
          </w:p>
        </w:tc>
        <w:tc>
          <w:tcPr>
            <w:tcW w:w="24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520" w:type="dxa"/>
            <w:vAlign w:val="bottom"/>
            <w:gridSpan w:val="4"/>
          </w:tcPr>
          <w:p>
            <w:pPr>
              <w:spacing w:after="0"/>
              <w:rPr>
                <w:sz w:val="20"/>
                <w:szCs w:val="20"/>
                <w:color w:val="auto"/>
              </w:rPr>
            </w:pPr>
            <w:r>
              <w:rPr>
                <w:rFonts w:ascii="Arial" w:cs="Arial" w:eastAsia="Arial" w:hAnsi="Arial"/>
                <w:sz w:val="18"/>
                <w:szCs w:val="18"/>
                <w:b w:val="1"/>
                <w:bCs w:val="1"/>
                <w:color w:val="auto"/>
                <w:w w:val="93"/>
              </w:rPr>
              <w:t>Spinal muscular atrophy collaboration with Roche &amp; the</w:t>
            </w: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  Phase 2 clinical study initiated of RG7800(2)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00" w:type="dxa"/>
            <w:vAlign w:val="bottom"/>
            <w:gridSpan w:val="3"/>
          </w:tcPr>
          <w:p>
            <w:pPr>
              <w:ind w:left="160"/>
              <w:spacing w:after="0"/>
              <w:rPr>
                <w:sz w:val="20"/>
                <w:szCs w:val="20"/>
                <w:color w:val="auto"/>
              </w:rPr>
            </w:pPr>
            <w:r>
              <w:rPr>
                <w:rFonts w:ascii="Arial" w:cs="Arial" w:eastAsia="Arial" w:hAnsi="Arial"/>
                <w:sz w:val="18"/>
                <w:szCs w:val="18"/>
                <w:b w:val="1"/>
                <w:bCs w:val="1"/>
                <w:color w:val="auto"/>
              </w:rPr>
              <w:t>SMA Foundation</w:t>
            </w:r>
          </w:p>
        </w:tc>
        <w:tc>
          <w:tcPr>
            <w:tcW w:w="2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  Phase 1 clinical study initiated of RG7916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Cancer stem cell program (PTC596)</w:t>
            </w:r>
          </w:p>
        </w:tc>
        <w:tc>
          <w:tcPr>
            <w:tcW w:w="4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Phase 1 clinical study ongoing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0" w:hanging="531"/>
        <w:spacing w:after="0" w:line="332"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Subject to annual EMA reassessment and renewal requirement; type II variation submitted by us to the EMA in Janaury 2016, which seeks to remove the condition to the existing marketing authorization and grant of full marketing authorization.</w:t>
      </w:r>
    </w:p>
    <w:p>
      <w:pPr>
        <w:spacing w:after="0" w:line="166" w:lineRule="exact"/>
        <w:rPr>
          <w:rFonts w:ascii="Arial" w:cs="Arial" w:eastAsia="Arial" w:hAnsi="Arial"/>
          <w:sz w:val="16"/>
          <w:szCs w:val="16"/>
          <w:color w:val="auto"/>
        </w:rPr>
      </w:pPr>
    </w:p>
    <w:p>
      <w:pPr>
        <w:ind w:left="1680" w:hanging="531"/>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clinical hold.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Translarna</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(ataluren)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discovered Translarna by applying our technologies to identify molecules that promote or enhance the suppression of nonsense mutations. Nonsense mutations are implicated in a variety of genetic disorders. Nonsense mutations create a premature stop signal in the translation of the genetic code contained in mRNA and prevent the production of full-length, functional proteins. We believe that Translarna interacts with the ribosome, which is the component of the cell that decodes the mRNA molecule and manufactures proteins, to enable the ribosome to read through premature nonsense stop signals on mRNA and allow the cell to produce a full-length, functional protein. As a result, we believe that Translarna has the potential to be an important therapy for nmDMD, nmCF, nmMPS I, nonsense mutation aniridia, nonsense mutation Dravet syndrome/CDKL5, and other genetic disorders for which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370" w:lineRule="auto"/>
        <w:rPr>
          <w:sz w:val="20"/>
          <w:szCs w:val="20"/>
          <w:color w:val="auto"/>
        </w:rPr>
      </w:pPr>
      <w:r>
        <w:rPr>
          <w:rFonts w:ascii="Arial" w:cs="Arial" w:eastAsia="Arial" w:hAnsi="Arial"/>
          <w:sz w:val="15"/>
          <w:szCs w:val="15"/>
          <w:color w:val="auto"/>
        </w:rPr>
        <w:t>nonsense mutation is the cause of the disease. Genetic tests are available for many genetic disorders, including those noted above, to determine if the underlying cause is a nonsense mutation. Translarna has been generally well tolerated in all of our clinical trials to date, which have enrolled over 1,000 individuals to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Nonsense mutation Duchenne muscular dystrophy (nmDMD)</w:t>
      </w:r>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Muscular dystrophies are genetic disorders involving progressive muscle wasting and weakness. Duchenne muscular dystrophy is the most common and one of the most severe types of muscular dystrophy. Duchenne muscular dystrophy occurs when a mutation in the dystrophin gene prevents the cell from making a functional dystrophin protein. Dystrophin is a muscle membrane associated protein and is critical to the structural and membrane stability of muscle fibers in skeletal, diaphragm and heart muscle. The absence of normally functioning dystrophin results in muscle fragility, such that muscle injury occurs when muscles contract or stretch during normal use. As muscle damage progresses, connective tissue and fat replace muscle fibers, resulting in inexorable muscle weakness.</w:t>
      </w:r>
    </w:p>
    <w:p>
      <w:pPr>
        <w:spacing w:after="0" w:line="154"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Because the dystrophin gene is located on the X chromosome, Duchenne muscular dystrophy occurs almost exclusively in young boys. According to Parent Project Muscular Dystrophy, Duchenne muscular dystrophy occurs in approximately 1 in 3,500 live male births. Based on this prevalence data, we estimate that Duchenne muscular dystrophy affects a total of approximately 15,000 boys and adolescents in the United States. Based on data from Orphanet, a public reference portal for information on rare disorders and orphan drugs, we estimate that Duchenne muscular dystrophy affects a total of approximately 19,000 boys and adolescents in the European Union. Genetic tests are available to determine if a patient's Duchenne muscular dystrophy is caused by a nonsense mutation. Based on information from Prior, et al. (1995) in the American Journal of Human Genetics, we estimate that a nonsense mutation is the cause of Duchenne muscular dystrophy in approximately 13% of patients. Overall, we estimate that the potential opportunity for a treatment for nonsense mutation DMD is approximately 7,000 patients worldwide including approximately 2,000 patients in the United States and approximately 5,000 patients outside of the United States, including the European Union, Latin America, Japan and Australia. nmDMD is an ultra-rare, life threatening disorder. Without treatment, patients with Duchenne muscular dystrophy typically lose walking ability by their early teens, require ventilation support in their late teens and, eventually, die due to heart and lung failure. The average age of death for Duchenne muscular dystrophy patients is in their mid-twenties.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authorization matters for Translarna in nonsense mutation Duchenne muscular dystrophy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Economic Area</w:t>
      </w:r>
      <w:r>
        <w:rPr>
          <w:rFonts w:ascii="Arial" w:cs="Arial" w:eastAsia="Arial" w:hAnsi="Arial"/>
          <w:sz w:val="18"/>
          <w:szCs w:val="18"/>
          <w:color w:val="auto"/>
        </w:rPr>
        <w:t>.</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received marketing authorization for Translarna for the treatment of nmDMD in ambulatory patients aged five years and older from the European Commission in August 2014, which is conditioned upon our submission of the final report, including additional efficacy and safety data, from ACT DMD, which we submitted to the EMA in January 2016.</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marketing authorization allows us to market Translarna in the European Economic Area, or EEA, which is comprised of the 28 member states of the European Union plus Norway, Iceland and Liechtenstein. The marketing authorization granted by the EEA in August 2014 was primarily based on safety and efficacy results and our retrospective analyses of study data submitted from our 48-week, 174-patient Phase 2b double-blind, placebo controlled trial completed in 2009, or our Phase 2b trial.</w:t>
      </w:r>
    </w:p>
    <w:p>
      <w:pPr>
        <w:spacing w:after="0" w:line="19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Marketing authorization is required in order for PTC to begin the market access process, including pricing and reimbursement negotiations, on a country-by-country basis with each country in the EEA. The market access process varies from country to country and can take over 18 months. See "Business—Commercial Matters—Market Access Considerations" and "Risk Factors—Risks Related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Development and Commercialization of our Product and our Product Candidates" for further information regarding the market access process and attendant risks.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marketing authorization in the EEA is subject to annual review and renewal by the European Commission following reassessment by the European Medicines Agency, or EMA, of the risk-benefit balance of the authorization, which we refer to as the annual EMA reassessment, as well as our satisfaction of other conditions and obligations. We plan to seek to renew the marketing authorization on an annual basis until a marketing authorization that is not subject to any specific conditions is granted, if ever.</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August 2015, the EMA renewed the marketing authorization for Translarna for the treatment of nmDMD for one year. In January 2016, we fulfilled the principal condition of the marketing authorization when we submitted the results of ACT DMD to the EMA. In connection with our submission of the ACT DMD report to the EMA, we requested that this condition to our marketing authorization be removed and that a full marketing authorization be granted. We currently anticipate the CHMP will make its recommendation to the EMA with respect to this request in mid-2016.</w:t>
      </w:r>
    </w:p>
    <w:p>
      <w:pPr>
        <w:spacing w:after="0" w:line="167"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On a parallel track, while the EMA considers our request to remove the condition to our marketing authorization in the EEA, we submitted our second annual renewal request to the EMA in February 2016. We expect, if granted, the renewal would be effective August 2016 for a one-year period. In connection with its review of our renewal application, the EMA will also take into account the results of ACT DMD as well as our request, described above, to have the primary condition removed from our current marketing authorization.</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connection with our requests to the EMA described above, the EMA may recommend the granting of a marketing authorization that is no longer subject to any further specific conditions, may recommend the imposition of new conditions to our marketing authorization, or may make other recommendations. Evaluation of the new data submitted to the EMA in our ACT DMD report may change the EMA's view of the risk-benefit balance of the marketing authorization. There is substantial risk that the EMA will not agree with our interpretation of the results of ACT DMD and the totality of clinical data from our trials. If the EMA does not view the results of ACT DMD as favorable, if we fail to satisfy our obligations under the marketing authorization, or if it is determined that the balance of risks and benefits of using Translarna for the treatment of nmDMD changes materially, the European Commission could, at the EMA's recommendation, vary, suspend, withdraw or refuse to renew the marketing authorization for Translarna or require additional clinical trials.</w:t>
      </w:r>
    </w:p>
    <w:p>
      <w:pPr>
        <w:spacing w:after="0" w:line="172"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Even if we are granted a marketing authorization that is no longer subject to specific obligations, we would continue to be required to follow renewal requirements in line with applicable regulations in the EEA. Generally, a marketing authorization in the EEA that is not subject to conditions is valid for five years, and is renewable upon application. If renewed following this five year period, the marketing authorization would then be valid for an unlimited period, unless the EMA or other competent authority decides to require an additional five-year renewal requirement.</w:t>
      </w:r>
    </w:p>
    <w:p>
      <w:pPr>
        <w:spacing w:after="0" w:line="167"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the marketing authorization holder, we are obligated to monitor the use of Translarna for nmDMD to detect, assess and take required action with respect to information that could impact Translarna's safety profile and to report this information, via pharmacovigilance submissions, to the EMA. Following its assessment of these submissions, the EMA can recommend to the European Commission actions ranging from the continued maintenance of the marketing authorization to its withdrawal.</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See "Business—Completed clinical trials of Translarna in nonsense mutation Duchenne muscular dystrophy" for further information regarding ACT DMD and our Phase 2b trial as well as meta-analysis of the data from both trials.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r>
        <w:rPr>
          <w:rFonts w:ascii="Arial" w:cs="Arial" w:eastAsia="Arial" w:hAnsi="Arial"/>
          <w:sz w:val="18"/>
          <w:szCs w:val="18"/>
          <w:color w:val="auto"/>
        </w:rPr>
        <w:t>.</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submitted our completed New Drug Application, or NDA, to the United States Food and Drug Administration, or FDA, in December 2015 with our ACT DMD analyses, after commencing our submission on a rolling basis in December 2014.</w:t>
      </w:r>
    </w:p>
    <w:p>
      <w:pPr>
        <w:spacing w:after="0" w:line="186"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disclosed on the morning of February 23, 2016, on the evening of February 22, 2016, we received a Refuse to File letter from the FDA regarding our NDA, for Translarna for the treatment of nmDMD. The FDA stated in the Refuse to File letter that our NDA was not sufficiently complete to permit a substantive review.</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Specifically, we were notified in the letter that, in the view of the FDA, both the Phase 2b and Phase 3 ACT DMD trials were negative and do not provide substantial evidence of effectiveness. Additionally, the FDA stated that we had proposed a post-hoc adjustment of ACT DMD that eliminates data from a majority of enrolled patients. We need further discussion with FDA to understand their current perspective on our subgroup analysis. In addition, the FDA noted that our NDA does not contain adequate information regarding the abuse potential of Translarna. While other comments and requests are noted in the letter as items to be addressed if the NDA is resubmitted, the FDA specified that they were not related to its refusal to file our NDA.</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continue to believe that the results of ACT DMD and the totality of clinical data across our two large, randomized, placebo-controlled trials provide substantial evidence of the effectiveness of Translarna and demonstrate a clinically meaningful benefit of Translarna for the treatment of nmDMD. We disagree with the manner in which our data has been characterized in the Refuse to File letter and we are initiating dialogue with the FDA to discuss and clarify the matters set forth in the letter and determine our best path forward.</w:t>
      </w:r>
    </w:p>
    <w:p>
      <w:pPr>
        <w:spacing w:after="0" w:line="197"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also believe we supplied adequate information with respect to potential for abuse in our submission. As noted in our NDA, in our review of our in vitro and in vivo non-clinical data as well as the clinical safety database, we have not seen evidence of central nervous system effects associated with abuse potential. Therefore, further studies to assess abuse potential in animals or humans were not performed. For additional information with respect to the safety profile of Translarna in our ACT DMD and Phase 2b trials, see "Item 1. Business—Completed clinical trials of Translarna in nonsense mutation Duchenne muscular dystrophy."</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Until we are able to meet with the FDA to obtain further clarity on the matters set forth in its letter, we are unable to fully assess our potential path forward for Translarna for the treatment of nmDMD in the United States, including whether we will submit a new or revised NDA and the agency's willingness to review, and the outcome of, any such submission. As a result, we are unable to estimate the timing or potential for a launch of Translarna for the treatment of nmDMD in the United States. There is substantial risk that, notwithstanding any further dialogue we may be able to initiate with the agency, the FDA will continue to disagree with our interpretation of our trial results and we may be required to perform additional clinical and non-clinical trials at significant cost, which, if successful, may enable FDA review of an NDA submission. Any such requirement for additional trials would most likely result in our inability to sell Translarna in the United States for a significant period of time.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"Item 1. Business—Government Regulation—The new drug approval, or NDA, process" below for further discussion with respect to the NDA process.</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History of FDA Interactions. </w:t>
      </w:r>
      <w:r>
        <w:rPr>
          <w:rFonts w:ascii="Arial" w:cs="Arial" w:eastAsia="Arial" w:hAnsi="Arial"/>
          <w:sz w:val="18"/>
          <w:szCs w:val="18"/>
          <w:color w:val="auto"/>
        </w:rPr>
        <w:t>As previously disclosed, in February 2012, we discussed the design of a proposed Phase 3 clinical trial, which became ACT</w:t>
      </w:r>
      <w:r>
        <w:rPr>
          <w:rFonts w:ascii="Arial" w:cs="Arial" w:eastAsia="Arial" w:hAnsi="Arial"/>
          <w:sz w:val="18"/>
          <w:szCs w:val="18"/>
          <w:i w:val="1"/>
          <w:iCs w:val="1"/>
          <w:color w:val="auto"/>
        </w:rPr>
        <w:t xml:space="preserve"> </w:t>
      </w:r>
      <w:r>
        <w:rPr>
          <w:rFonts w:ascii="Arial" w:cs="Arial" w:eastAsia="Arial" w:hAnsi="Arial"/>
          <w:sz w:val="18"/>
          <w:szCs w:val="18"/>
          <w:color w:val="auto"/>
        </w:rPr>
        <w:t>DMD, with the FDA. In that meeting, although the FDA indicated that the adequacy of data for filing and approval of an NDA would remain review issues, the FDA had no objections to key elements of our proposed trial design, including the eligibility criteria for patients based on baseline 6-minute walk distance, use of the 6-minute walk test as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primary efficacy endpoint and inclusion of timed tests of muscle function as key secondary endpoints, or the absence of any measure of dystrophin. We met with the FDA in August 2014 to discuss our proposed rolling NDA submission and initiated that submission in December 2014. We submitted our draft statistical analysis plan to the FDA in the spring of 2015, which included pre-specified, sub-group, and meta-analyses. We subsequently received comments from the FDA, which were incorporated before submitting our final statistical analysis plan, and prior to our unblinding of the study.</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2010, in connection with our NDA based on our Phase 2b data, we had received a refuse to file letter from the FDA. The FDA refused to file this NDA on the grounds that the single placebo controlled Phase 2b clinical trial contained in the NDA did not achieve statistical significance in the pre-specified analysis. In December 2011, we filed with the FDA a formal dispute resolution request concerning the NDA. We requested review of the issues related to the FDA's refusal to file the NDA and a prospective resubmission of the NDA with updated information and analyses. In January 2012, the FDA reaffirmed the appropriateness of its earlier decision to refuse to file the 2010 NDA. In the current Refuse to File letter, the FDA referenced its prior refusal to file relative to the Phase 2b data and our discussions with the FDA, reiterating the views previously disclosed.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Territories</w:t>
      </w:r>
      <w:r>
        <w:rPr>
          <w:rFonts w:ascii="Arial" w:cs="Arial" w:eastAsia="Arial" w:hAnsi="Arial"/>
          <w:sz w:val="18"/>
          <w:szCs w:val="18"/>
          <w:color w:val="auto"/>
        </w:rPr>
        <w:t>.</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Translarna received marketing authorization for the treatment of nmDMD in Israel in August 2015 and South Korea in December 2015. The marketing authorization in Israel is due for renewal in July 2016 and in South Korea is due for renewal in December 2020, and has a condition to submit the clinical study report from ACT DMD by December 2016 to the South Korean Ministry of Food and Drug Safety. Many territories outside of the European Economic Area, including Israel and South Korea, reference and depend on the determinations by the EMA when considering the grant of a marketing authorization. As a result, maintenance of marketing authorization in these 2 countries, will depend on the renewal and approval by the EMA for Translarna in EU region. We may not be able to maintain our marketing authorizations in these regions in the event that the EMA determines not to renew or otherwise modifies or withdraws our marketing authorization in the European Economic Area.</w:t>
      </w:r>
    </w:p>
    <w:p>
      <w:pPr>
        <w:spacing w:after="0" w:line="172"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During 2015, we also began pursuing marketing authorizations for Translarna for the treatment of nmDMD in Canada and Switzerland. During 2016 and future years, we intend to submit marketing authorization requests for Translarna for the treatment of nmDMD in additional territories, using both internal and external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Early Access Programs</w:t>
      </w:r>
      <w:r>
        <w:rPr>
          <w:rFonts w:ascii="Arial" w:cs="Arial" w:eastAsia="Arial" w:hAnsi="Arial"/>
          <w:sz w:val="18"/>
          <w:szCs w:val="18"/>
          <w:color w:val="auto"/>
        </w:rPr>
        <w:t>.</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have been making Translarna for the treatment of nmDMD available through reimbursed early access programs, or EAP programs, in selected countries where funded named patient or cohort programs exist, both within the EEA and in other territories. Many of these programs also reference the EMA's determinations with respect to our marketing authorization in the EEA. As of today, Translarna is available under EAP or similar styled programs in Argentina, Brazil, Canada, Colombia, France, Greece, Israel, Italy, Peru, Portugal, Scotland, Singapore, Spain, Sweden, Switzerland, and Turkey. Generally, EAP programs allow for access to Translarna pursuant to a named patient program, under which a physician requests access to Translarna on behalf of the specific, or "named" patient or pursuant to a cohort program, which allows for a broader temporary authorization for use for nmDMD meeting the inclusion criteria. Our EAP programs are named patient or similar styled programs in all territories other than France and Italy, which are cohort programs.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clinical trials of Translarna in nonsense mutation Duchenne muscular dystrophy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Background—Phase 3 clinical trial of Translarna for nmDMD</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October 2015, we announced results from ACT DMD, also referred to as Study 020, our Phase 3, double-blind, placebo-controlled, 48-week clinical trial to evaluate the safety and efficacy of Translarna in patients with Duchenne muscular dystrophy caused by nonsense mutations, or nmDMD. ACT DMD involved 228 patients at 53 sites across 18 countries.</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the overall intent-to-treat, or ITT, study population, the primary endpoint of change from baseline at week 48 in the 6-minute walk test or 6MWT, which we also refer to as 6-minute walk distance, or 6MWD, showed a 15 meter benefit in favor of Translarna, which did not meet statistical significance.</w:t>
      </w:r>
    </w:p>
    <w:p>
      <w:pPr>
        <w:spacing w:after="0" w:line="139"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continue to believe that the results of ACT DMD and the totality of clinical data across our two large, randomized, placebo-controlled trials (ACT DMD and our prior Phase 2b trial, Study 007), including pre-specified analyses as well as retrospective and subgroup analyses that we have performed, provide strong support for concluding that Translarna is active and showed clinically meaningful benefits over placebo in these trials. However, we did not achieve the primary efficacy endpoint in either trial with the pre specified level of statistical significance and on February 22, 2016, we received a Refuse to File letter from the FDA regarding our NDA for Translarna for the treatment of nmDMD stating that, in the view of the FDA, our NDA was not sufficiently complete to permit a substantive review.</w:t>
      </w:r>
    </w:p>
    <w:p>
      <w:pPr>
        <w:spacing w:after="0" w:line="19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Specifically, we were notified in the Refuse to File letter that, in the view of the FDA, both the Phase 2b and Phase 3 ACT DMD trials were negative and do not provide substantial evidence of effectiveness. Additionally, the FDA stated that we had proposed a post-hoc adjustment of ACT DMD that eliminates data from a majority of enrolled patients. We need further discussion with FDA to understand their current perspective on our subgroup analysis.</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the FDA noted that our NDA does not contain adequate information regarding the abuse potential of Translarna. While other comments and requests are noted in the letter as items to be addressed if the NDA is resubmitted, the FDA specified that they were not related to its refusal to file our NDA. See "Item 1. Business—Marketing authorization matters for Translarna in nonsense mutation Duchenne muscular dystrophy—United States" for additional information with respect to our history of interactions with the FDA with respect to Translarna for the treatment of nmDMD.</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is also substantial risk that in addition to the matters discussed above, the EMA and regulators in other territories may not agree with our interpretation of the results of ACT DMD and the totality of clinical data from our trials.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Analysis of Results—Phase 3 clinical trial of Translarna for nmDMD</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 summary of the safety and efficacy results from ACT DMD, including the ITT and pre-specified populations as well as the pre-specified meta-analysis of our combined ACT DMD and Phase 2b ambulatory decline phase patients is outlined below. The Phase 2b ambulatory decline phase patients includes the patients from our randomized, double-blind, placebo controlled, Phase 2b clinical trial in patients with nmDMD who would have met the enrollment criteria of ACT DMD.</w:t>
      </w:r>
    </w:p>
    <w:p>
      <w:pPr>
        <w:spacing w:after="0" w:line="197"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i w:val="1"/>
          <w:iCs w:val="1"/>
          <w:color w:val="auto"/>
        </w:rPr>
        <w:t xml:space="preserve">Safety and tolerability. </w:t>
      </w:r>
      <w:r>
        <w:rPr>
          <w:rFonts w:ascii="Arial" w:cs="Arial" w:eastAsia="Arial" w:hAnsi="Arial"/>
          <w:sz w:val="16"/>
          <w:szCs w:val="16"/>
          <w:color w:val="auto"/>
        </w:rPr>
        <w:t>The results of ACT DMD confirmed the favorable safety profile of Translarna seen in the Phase 2b trial. Translarna was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well tolerated in our Phase 3 clinical trial. There were two study discontinuations due to adverse events, including one in the Translarna arm (constipation) and one in the placebo arm (disease progression). Most treatment-emergent adverse events were mild or moderate in severity. The most common adverse events in this trial were vomiting (20.4% overall), nasopharyngitis (20.0%), headache (18.3%), and fall (17.8%). These events were generally balanced across treatment arms and are typical of pediatric illnesses and/or patients with DMD. Adverse events with at least a 10% incidence in either treatment arm that were seen with increased frequency from the placebo group to the Translarna 40 mg dose group were vomiting (18.3% for placebo, 23.6% for the Translarna 40 mg group), nasopharyngitis (19.1% for placebo, 20.9% for the Translarna 40 mg group), fall (17.4% for placebo, 18.3% for the Translarna 40 mg group), cough (11.3% for placebo, 16.5% for the Translarna 40 mg group) diarrhea (8.7% for placebo, 17.4% for the Translarna 40 mg group), and pyrexia (10.4% for placebo, 13.9% for the Translarna 40 mg group). An overview of adverse events in this trial is shown in the table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treatment-emergent adverse events in Phase 3 clinical trial (as-treated population)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Translarna</w:t>
            </w:r>
          </w:p>
        </w:tc>
        <w:tc>
          <w:tcPr>
            <w:tcW w:w="54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rPr>
              <w:t>All</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Placebo</w:t>
            </w: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40 mg group</w:t>
            </w:r>
          </w:p>
        </w:tc>
        <w:tc>
          <w:tcPr>
            <w:tcW w:w="128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patients</w:t>
            </w:r>
          </w:p>
        </w:tc>
        <w:tc>
          <w:tcPr>
            <w:tcW w:w="0" w:type="dxa"/>
            <w:vAlign w:val="bottom"/>
          </w:tcPr>
          <w:p>
            <w:pPr>
              <w:spacing w:after="0"/>
              <w:rPr>
                <w:sz w:val="1"/>
                <w:szCs w:val="1"/>
                <w:color w:val="auto"/>
              </w:rPr>
            </w:pPr>
          </w:p>
        </w:tc>
      </w:tr>
      <w:tr>
        <w:trPr>
          <w:trHeight w:val="161"/>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Parameter</w:t>
            </w: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N=115</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N=115</w:t>
            </w:r>
          </w:p>
        </w:tc>
        <w:tc>
          <w:tcPr>
            <w:tcW w:w="12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N=230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Patients with ³ 1 adverse event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(87.8)%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(89.6)%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5"/>
              </w:rPr>
              <w:t>(88.7)%</w:t>
            </w:r>
          </w:p>
        </w:tc>
        <w:tc>
          <w:tcPr>
            <w:tcW w:w="0" w:type="dxa"/>
            <w:vAlign w:val="bottom"/>
          </w:tcPr>
          <w:p>
            <w:pPr>
              <w:spacing w:after="0"/>
              <w:rPr>
                <w:sz w:val="1"/>
                <w:szCs w:val="1"/>
                <w:color w:val="auto"/>
              </w:rPr>
            </w:pPr>
          </w:p>
        </w:tc>
      </w:tr>
      <w:tr>
        <w:trPr>
          <w:trHeight w:val="209"/>
        </w:trPr>
        <w:tc>
          <w:tcPr>
            <w:tcW w:w="5700" w:type="dxa"/>
            <w:vAlign w:val="bottom"/>
            <w:gridSpan w:val="3"/>
          </w:tcPr>
          <w:p>
            <w:pPr>
              <w:spacing w:after="0"/>
              <w:rPr>
                <w:sz w:val="20"/>
                <w:szCs w:val="20"/>
                <w:color w:val="auto"/>
              </w:rPr>
            </w:pPr>
            <w:r>
              <w:rPr>
                <w:rFonts w:ascii="Arial" w:cs="Arial" w:eastAsia="Arial" w:hAnsi="Arial"/>
                <w:sz w:val="18"/>
                <w:szCs w:val="18"/>
                <w:color w:val="auto"/>
              </w:rPr>
              <w:t>Adverse events by severity</w:t>
            </w:r>
          </w:p>
        </w:tc>
        <w:tc>
          <w:tcPr>
            <w:tcW w:w="4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Grade 1 (mild)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(53.0)%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5"/>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Grade 2 (moderate)</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(32.2)%</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(30.4)%</w:t>
            </w: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Grade 3 (severe)</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9 (7.8)%</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7 (6.1)%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Grade 4 (life-threatening)</w:t>
            </w:r>
          </w:p>
        </w:tc>
        <w:tc>
          <w:tcPr>
            <w:tcW w:w="4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Adverse events by relatedness</w:t>
            </w: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Unrelated</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(40.9)%</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(38.3)%</w:t>
            </w: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Unlikely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(17.4)%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5"/>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Possible</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(15.7)%</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(23.5)%</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Probable</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6 (5.2)%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(7.8)%</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color w:val="auto"/>
              </w:rPr>
              <w:t>Discontinuations due to adverse events</w:t>
            </w: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2</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(0.9)%</w:t>
            </w:r>
          </w:p>
        </w:tc>
        <w:tc>
          <w:tcPr>
            <w:tcW w:w="0" w:type="dxa"/>
            <w:vAlign w:val="bottom"/>
          </w:tcPr>
          <w:p>
            <w:pPr>
              <w:spacing w:after="0" w:line="20" w:lineRule="exact"/>
              <w:rPr>
                <w:sz w:val="1"/>
                <w:szCs w:val="1"/>
                <w:color w:val="auto"/>
              </w:rPr>
            </w:pPr>
          </w:p>
        </w:tc>
      </w:tr>
      <w:tr>
        <w:trPr>
          <w:trHeight w:val="210"/>
        </w:trPr>
        <w:tc>
          <w:tcPr>
            <w:tcW w:w="570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 (0.9)%</w:t>
            </w:r>
          </w:p>
        </w:tc>
        <w:tc>
          <w:tcPr>
            <w:tcW w:w="5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 (0.9)%</w:t>
            </w:r>
          </w:p>
        </w:tc>
        <w:tc>
          <w:tcPr>
            <w:tcW w:w="4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Serious adverse events</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 (3.5)%</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4 (3.5)%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(3.5)%</w:t>
            </w:r>
          </w:p>
        </w:tc>
        <w:tc>
          <w:tcPr>
            <w:tcW w:w="0" w:type="dxa"/>
            <w:vAlign w:val="bottom"/>
          </w:tcPr>
          <w:p>
            <w:pPr>
              <w:spacing w:after="0"/>
              <w:rPr>
                <w:sz w:val="1"/>
                <w:szCs w:val="1"/>
                <w:color w:val="auto"/>
              </w:rPr>
            </w:pPr>
          </w:p>
        </w:tc>
      </w:tr>
      <w:tr>
        <w:trPr>
          <w:trHeight w:val="216"/>
        </w:trPr>
        <w:tc>
          <w:tcPr>
            <w:tcW w:w="5700" w:type="dxa"/>
            <w:vAlign w:val="bottom"/>
            <w:gridSpan w:val="3"/>
          </w:tcPr>
          <w:p>
            <w:pPr>
              <w:spacing w:after="0"/>
              <w:rPr>
                <w:sz w:val="20"/>
                <w:szCs w:val="20"/>
                <w:color w:val="auto"/>
              </w:rPr>
            </w:pPr>
            <w:r>
              <w:rPr>
                <w:rFonts w:ascii="Arial" w:cs="Arial" w:eastAsia="Arial" w:hAnsi="Arial"/>
                <w:sz w:val="18"/>
                <w:szCs w:val="18"/>
                <w:color w:val="auto"/>
              </w:rPr>
              <w:t>Deaths</w:t>
            </w:r>
          </w:p>
        </w:tc>
        <w:tc>
          <w:tcPr>
            <w:tcW w:w="4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There were no serious adverse events observed during the trial that were considered possibly or probably related to Translarna. Determination of relatedness of the serious adverse event to Translarna was made by the trial investigator, based on his or her judgment.</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Intent to Treat (ITT) Population. </w:t>
      </w:r>
      <w:r>
        <w:rPr>
          <w:rFonts w:ascii="Arial" w:cs="Arial" w:eastAsia="Arial" w:hAnsi="Arial"/>
          <w:sz w:val="18"/>
          <w:szCs w:val="18"/>
          <w:color w:val="auto"/>
        </w:rPr>
        <w:t>The primary efficacy endpoint in ACT DMD was change in 6MWD from baseline to week 48. In the ITT population, a 15</w:t>
      </w:r>
      <w:r>
        <w:rPr>
          <w:rFonts w:ascii="Arial" w:cs="Arial" w:eastAsia="Arial" w:hAnsi="Arial"/>
          <w:sz w:val="18"/>
          <w:szCs w:val="18"/>
          <w:i w:val="1"/>
          <w:iCs w:val="1"/>
          <w:color w:val="auto"/>
        </w:rPr>
        <w:t xml:space="preserve"> </w:t>
      </w:r>
      <w:r>
        <w:rPr>
          <w:rFonts w:ascii="Arial" w:cs="Arial" w:eastAsia="Arial" w:hAnsi="Arial"/>
          <w:sz w:val="18"/>
          <w:szCs w:val="18"/>
          <w:color w:val="auto"/>
        </w:rPr>
        <w:t>meter benefit (p=0.213) was observed in the primary endpoint which did not meet statistical significance.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Secondary endpoints in the trial included the proportion of patients with at least 10% worsening in 6MWD at week 48 of the trial compared to baseline, or 10% 6MWD worsening, and change in timed function tests of time to run/walk 10 meters, climb four stairs and descend four stairs. The hazard ratio for Translarna versus placebo was 0.75 (p=0.160) for 10% 6MWD worsening. Benefits trended in favor of Translarna over placebo in the timed function tests in the ITT population, including observed results in time to run/walk 10 meters (1.2 seconds; p=0.117), time to climb four stairs (1.8 seconds; p=0.058), and time to descend four stairs (1.8 seconds; p=0.012).</w:t>
      </w:r>
    </w:p>
    <w:p>
      <w:pPr>
        <w:spacing w:after="0" w:line="197"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Additional endpoints included the North Star Ambulatory Assessment test, or NSAA test, a functional scale designed for boys affected by DMD, and the Pediatric Outcomes Data Collection Instrument, or PODCI, a validated tool for measuring quality of life in pediatric patients with orthopedic conditions. These additional endpoints favored Translarna in the ITT population but did not meet statistical significance.</w:t>
      </w:r>
    </w:p>
    <w:p>
      <w:pPr>
        <w:spacing w:after="0" w:line="19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i w:val="1"/>
          <w:iCs w:val="1"/>
          <w:color w:val="auto"/>
        </w:rPr>
        <w:t xml:space="preserve">Pre-Specified Analyses. </w:t>
      </w:r>
      <w:r>
        <w:rPr>
          <w:rFonts w:ascii="Arial" w:cs="Arial" w:eastAsia="Arial" w:hAnsi="Arial"/>
          <w:sz w:val="18"/>
          <w:szCs w:val="18"/>
          <w:color w:val="auto"/>
        </w:rPr>
        <w:t>The statistical analysis plan submitted to the FDA for ACT DMD set forth pre-specified analyses of efficacy to be conducted,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subgroups of patients with baseline 6MWD less than 350 meters and patients with baseline 6MWD of greater than or equal to 300 and less than 400 meters, which we refer to as our key subgroups.</w:t>
      </w:r>
    </w:p>
    <w:p>
      <w:pPr>
        <w:spacing w:after="0" w:line="19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pre-specification of our key subgroups was scientifically justified based upon knowledge of the biology of the disease and the evolving understanding of the natural history of the six minute walk test in DMD patients. We considered the pre-specified less than 350 meter baseline 6MWD population as a key subgroup based on the knowledge that 350 meters represents a transition point for patients towards a more rapid decline in walking ability as supported by analysis from our Phase 2b trial. Furthermore, we considered the pre-specified 300 to 400 meter baseline 6MWD population as a key subgroup based on an increasing understanding of the sensitivity limitations of the six minute walk test as an endpoint in 48-week studies. Natural history data suggests that the 6MWT may not be the optimal tool to demonstrate efficacy in patients with either a baseline 6MWD of less than 300 meters, as these patients have significant muscle loss as monitored by magnetic resonance spectroscopy and are at high risk for losing ambulation regardless of treatment, or in high walking patients, such as those with a baseline 6MWD at or greater than 400 meters, as these patients are likely to remain stable over a 48 week testing period.</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By defining these key subgroups, we thereby also defined corresponding complement subgroups of patients with baseline 6MWD greater than or equal to 350 meters, greater than or equal to 400 meters, and less than 300 meters. We also pre-specified a meta-analysis of the combined results from ACT DMD and the Phase 2b ambulatory decline phase patients.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u w:val="single" w:color="auto"/>
          <w:color w:val="auto"/>
        </w:rPr>
        <w:t>Pre-specified sub-group analysis</w:t>
      </w:r>
      <w:r>
        <w:rPr>
          <w:rFonts w:ascii="Arial" w:cs="Arial" w:eastAsia="Arial" w:hAnsi="Arial"/>
          <w:sz w:val="16"/>
          <w:szCs w:val="16"/>
          <w:color w:val="auto"/>
        </w:rPr>
        <w:t>. We saw strong evidence of clinical benefit in the pre-specified subgroup of patients with baseline 6MWD between 300 and 400 meters. Specifically, we observed a benefit in Translarna-treated patients of 47 meters (nominal p=0.007) in the 6MWT in this subgroup. This benefit was consistent with an observed benefit of 49 meters (nominal p=0.026) in our Phase 2b clinical trial in the 300 to 400 meters baseline 6MWD population. We also saw clinically meaningful benefit for Translarna over placebo in each of the timed function tests, including observed results in time to run/walk 10 meters (2.1 seconds; nominal p=0.066), time to climb four stairs (3.6 seconds; nominal p=0.003), and time to descend four stairs (4.3 seconds; nominal p&lt;0.001). The hazard ratio for Translarna versus placebo was 0.79 (nominal p=0.418) for 10% 6MWD worsening. In addition, a benefit of 4.5 points over placebo (nominal p=0.041) was observed in the NSAA test, which we believe is clinically meaningful. We believe that the benefits observed in this key pre-specified subgroup support the use of the 6MWT in the patients with a walking ability in the 300 to 400 meters range and the understanding that the reliability of the 6MWT over a 48 week period was limited at both the lower and upper ends of our 6MWD enrollment range.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the pre-specified subgroup of patients with baseline 6MWD less than 350 meters, we observed a benefit of 24 meters (nominal p=0.210) in favor of Translarna in the 6MWT. An analysis of the results from our Phase 2b clinical trial in the less than 350 meters baseline 6MWD population, defined post-hoc, demonstrated a 68 meter benefit in the 6MWT (nominal p=0.006). In the timed function tests for the subgroup of ACT DMD patients with baseline 6MWD less than 350 meters, we observed benefits for Translarna over placebo in time to run/walk 10 meters (2.3 seconds; nominal p=0.033), time to climb four stairs (4.2 seconds; nominal p=0.019) and time to descend four stairs (4.0 seconds; nominal p=0.007).</w:t>
      </w:r>
    </w:p>
    <w:p>
      <w:pPr>
        <w:spacing w:after="0" w:line="170"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described above, we believe the 6MWT lacks sensitivity to detect a clinical effect in patients with baseline less than 300 meters in a 48-week trial. However, the timed function tests trended in favor of patients treated with Translarna with a baseline 6MWD below 300 meters, including observed benefit over placebo in time to run/walk 10 meters (2.5 seconds; nominal p=0.066), time to climb four stairs (2.4 seconds; nominal p=0.790), and time to descend four stairs (2.1 seconds; nominal p=0.595). We believe the positive trends in this population reflect that short muscle burst activity tests may be a better clinical measure for patients that are at a more advanced stage of disease progression. Consistent with the natural history of ambulatory DMD patients with 6MWD greater than 400 meters, which indicates stability in walking ability over a 48 week period, we observed no meaningful difference in 6MWT between patient groups. Similarly, we observed no meaningful difference in 6MWT between patient groups with baseline 6MWD greater than 350 meters.</w:t>
      </w:r>
    </w:p>
    <w:p>
      <w:pPr>
        <w:spacing w:after="0" w:line="172"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u w:val="single" w:color="auto"/>
          <w:color w:val="auto"/>
        </w:rPr>
        <w:t>Pre-specified meta-analysis</w:t>
      </w:r>
      <w:r>
        <w:rPr>
          <w:rFonts w:ascii="Arial" w:cs="Arial" w:eastAsia="Arial" w:hAnsi="Arial"/>
          <w:sz w:val="16"/>
          <w:szCs w:val="16"/>
          <w:color w:val="auto"/>
        </w:rPr>
        <w:t>. The meta-analysis of efficacy results from the ACT DMD ITT population and Phase 2b ambulatory decline phase subgroup demonstrated a statistically significant 21 meter improvement in 6MWD (p = 0.015) favoring Translarna. Additionally, the meta-analysis showed statistically significant benefit for Translarna over placebo across each timed function test including time to run/walk 10 meters (1.4 seconds; p=0.025), time to climb four stairs (1.6 seconds; p =0.018) and time to descend four stairs (2.0 seconds; p=0.004). The hazard ratio for Translarna versus placebo was 0.66 (p=0.023) for 10% 6MWD worsening. We believe that we are able to demonstrate a statistically significant efficacy outcome in the 6MWD in the meta-analysis, despite the significant variability in baseline 6MWD among patients in both ACT DMD and the Phase 2b ambulatory decline phase, due to the substantially larger patient population available in the pooled analysis.</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Retrospective Analysis. </w:t>
      </w:r>
      <w:r>
        <w:rPr>
          <w:rFonts w:ascii="Arial" w:cs="Arial" w:eastAsia="Arial" w:hAnsi="Arial"/>
          <w:sz w:val="16"/>
          <w:szCs w:val="16"/>
          <w:color w:val="auto"/>
        </w:rPr>
        <w:t>We also looked back at the observed results in the meta-analysis for all patients with a baseline 300 to 400 meter 6MWD from ACT</w:t>
      </w:r>
      <w:r>
        <w:rPr>
          <w:rFonts w:ascii="Arial" w:cs="Arial" w:eastAsia="Arial" w:hAnsi="Arial"/>
          <w:sz w:val="16"/>
          <w:szCs w:val="16"/>
          <w:i w:val="1"/>
          <w:iCs w:val="1"/>
          <w:color w:val="auto"/>
        </w:rPr>
        <w:t xml:space="preserve"> </w:t>
      </w:r>
      <w:r>
        <w:rPr>
          <w:rFonts w:ascii="Arial" w:cs="Arial" w:eastAsia="Arial" w:hAnsi="Arial"/>
          <w:sz w:val="16"/>
          <w:szCs w:val="16"/>
          <w:color w:val="auto"/>
        </w:rPr>
        <w:t>DMD and the Phase 2b trial. The meta-analysis of this data demonstrated a 45 meter benefit (nominal p&lt;0.001) in the 6MWT as well as clinically meaningful benefits across each secondary endpoint timed function test, including benefit over placebo in time to run/walk 10 meters (2.2 seconds; nominal p=0.008), time to climb four stairs (3.4 seconds; nominal p&lt;0.001) and time to descend four stairs (4.3 seconds; nominal p&lt;0.001). This meta-analysis of patients with baseline 6MWD of 300 to 400 meters was not pre-specified and is defined post-hoc.</w:t>
      </w:r>
    </w:p>
    <w:p>
      <w:pPr>
        <w:spacing w:after="0" w:line="170"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i w:val="1"/>
          <w:iCs w:val="1"/>
          <w:color w:val="auto"/>
        </w:rPr>
        <w:t xml:space="preserve">Statistical Considerations. </w:t>
      </w:r>
      <w:r>
        <w:rPr>
          <w:rFonts w:ascii="Arial" w:cs="Arial" w:eastAsia="Arial" w:hAnsi="Arial"/>
          <w:sz w:val="18"/>
          <w:szCs w:val="18"/>
          <w:color w:val="auto"/>
        </w:rPr>
        <w:t>The pre-specified meta-analysis results, which favored Translarna in the 6MWT and each of the timed function tests,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statistically significant. In the pre-specified subgroups of ACT DMD patients with a baseline 6MWD less than 350 meters and 300 to 400 meters, the p-values for the 6MWT and each of the timed function tests are considered nominal. For information with respect to the use of nominal p-values and post-hoc analyses, see the risk factor: "Our conclusions regarding the activity and potential efficacy of Translarna in nmDMD are primarily based on pre-specified meta-analysis and subgroup analyses of ACT DMD data and retrospective analyses of the results of our Phase 2b clinical trial of Translarna for the treatment of nmDMD. In addition, our conclusions regarding the activity and potential efficacy of Translarna in nmCF are primarily based on retrospective analyses of the results of our completed Phase 3 clinical trial of Translarna for nmCF. Other than pre-specified meta-analyses, results of our analyses are expressed as nominal p-values, which</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are generally considered less reliable indicators of efficacy than adjusted p-values. In addition, retrospective analyses are generally considered less reliable than pre-specified analyses."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Participation Criteria and Stratification. </w:t>
      </w:r>
      <w:r>
        <w:rPr>
          <w:rFonts w:ascii="Arial" w:cs="Arial" w:eastAsia="Arial" w:hAnsi="Arial"/>
          <w:sz w:val="16"/>
          <w:szCs w:val="16"/>
          <w:color w:val="auto"/>
        </w:rPr>
        <w:t>Certain key inclusion criteria were specified in the ACT DMD trial protocol for enrollment: the patient had to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7 through 16 years of age; at the screening visit the patient had to be able to walk no more than 80% of predicted 6MWD compared to healthy boys matched for age and height, but have the ability to walk at least 150 meters during the 6MWT; and the patient must have used systemic corticosteroids for a minimum of six months prior to start of treatment. The ACT DMD trial protocol provided for the exclusion of patients from the trial if, among other things, they recently used systemic aminoglycoside antibiotics, recently initiated or changed corticosteroid therapy or previously received Translarna treatment. Patients enrolled in ACT DMD underwent 48 weeks of blinded treatment prior to the final analysis and the randomization was stratified based on age (&lt;9 years versus </w:t>
      </w:r>
      <w:r>
        <w:rPr>
          <w:rFonts w:ascii="Arial" w:cs="Arial" w:eastAsia="Arial" w:hAnsi="Arial"/>
          <w:sz w:val="16"/>
          <w:szCs w:val="16"/>
          <w:i w:val="1"/>
          <w:iCs w:val="1"/>
          <w:color w:val="auto"/>
        </w:rPr>
        <w:t>³</w:t>
      </w:r>
      <w:r>
        <w:rPr>
          <w:rFonts w:ascii="Arial" w:cs="Arial" w:eastAsia="Arial" w:hAnsi="Arial"/>
          <w:sz w:val="16"/>
          <w:szCs w:val="16"/>
          <w:color w:val="auto"/>
        </w:rPr>
        <w:t xml:space="preserve">9), baseline 6MWD (&lt;350 versus </w:t>
      </w:r>
      <w:r>
        <w:rPr>
          <w:rFonts w:ascii="Arial" w:cs="Arial" w:eastAsia="Arial" w:hAnsi="Arial"/>
          <w:sz w:val="16"/>
          <w:szCs w:val="16"/>
          <w:i w:val="1"/>
          <w:iCs w:val="1"/>
          <w:color w:val="auto"/>
        </w:rPr>
        <w:t>³</w:t>
      </w:r>
      <w:r>
        <w:rPr>
          <w:rFonts w:ascii="Arial" w:cs="Arial" w:eastAsia="Arial" w:hAnsi="Arial"/>
          <w:sz w:val="16"/>
          <w:szCs w:val="16"/>
          <w:color w:val="auto"/>
        </w:rPr>
        <w:t xml:space="preserve">350 meters), and duration of prior use of corticosteroids (&lt;12 months versus </w:t>
      </w:r>
      <w:r>
        <w:rPr>
          <w:rFonts w:ascii="Arial" w:cs="Arial" w:eastAsia="Arial" w:hAnsi="Arial"/>
          <w:sz w:val="16"/>
          <w:szCs w:val="16"/>
          <w:i w:val="1"/>
          <w:iCs w:val="1"/>
          <w:color w:val="auto"/>
        </w:rPr>
        <w:t>³</w:t>
      </w:r>
      <w:r>
        <w:rPr>
          <w:rFonts w:ascii="Arial" w:cs="Arial" w:eastAsia="Arial" w:hAnsi="Arial"/>
          <w:sz w:val="16"/>
          <w:szCs w:val="16"/>
          <w:color w:val="auto"/>
        </w:rPr>
        <w:t>12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2b clinical trial of Translarna for nmDMD</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March 2010, we announced the results of a randomized, double-blind, placebo controlled, dose ranging Phase 2b clinical trial evaluating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long term efficacy and safety of Translarna in patients with nmDMD as confirmed by gene sequencing. We conducted this clinical trial in 174 patients in 11 countries. The primary objective of this trial was to evaluate the effect of Translarna on ambulation using 6-minute walk distance at week 48 of the trial compared to baseline as the primary efficacy endpoint. Supportive analyses of ambulation consisted of the proportion of patients with at least 10% worsening in 6-minute walk distance at week 48 of the trial compared to baseline and time to persistent 6-minute walk distance 10% worsening from baseline. Multiple additional secondary and exploratory endpoints, including, among others, tests of muscle function based on time to climb four stairs, descend four stairs, run/walk 10 meters and stand from supine, were monitored for the primary purpose of gaining a greater understanding of clinical trial design in DMD. We assessed safety through collection of adverse event information, measurement of laboratory parameters and performance of electrocardiograms, or ECGs. We also evaluated study drug compliance and Translarna plasma concentrations.</w:t>
      </w:r>
    </w:p>
    <w:p>
      <w:pPr>
        <w:spacing w:after="0" w:line="174" w:lineRule="exact"/>
        <w:rPr>
          <w:sz w:val="20"/>
          <w:szCs w:val="20"/>
          <w:color w:val="auto"/>
        </w:rPr>
      </w:pPr>
    </w:p>
    <w:p>
      <w:pPr>
        <w:jc w:val="both"/>
        <w:ind w:right="120" w:firstLine="351"/>
        <w:spacing w:after="0" w:line="303" w:lineRule="auto"/>
        <w:rPr>
          <w:sz w:val="20"/>
          <w:szCs w:val="20"/>
          <w:color w:val="auto"/>
        </w:rPr>
      </w:pPr>
      <w:r>
        <w:rPr>
          <w:rFonts w:ascii="Arial" w:cs="Arial" w:eastAsia="Arial" w:hAnsi="Arial"/>
          <w:sz w:val="15"/>
          <w:szCs w:val="15"/>
          <w:color w:val="auto"/>
        </w:rPr>
        <w:t>Patients enrolled in this trial were at least five years of age, had the ability at baseline to walk at least 75 meters unassisted during a 6-minute walk test, had onset of disease signs/symptoms prior to age nine, had elevated creatine kinase levels, and had ongoing difficulty with walking. Patients were excluded from the trial if they had a prior or ongoing clinically significant illness, had a positive hepatitis B or hepatitis C test or had recently used systemic aminoglycosides.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Patients receiving corticosteroid therapy were required to have initiated therapy more than six months prior to enrollment and to be on a stable dosing regimen for at least three months prior to entering the trial. The trial protocol specified a clinic visit every six weeks to assess efficacy and safety and an interim laboratory visit every three weeks for the first 24 weeks of the trial. The treatment duration was 48 weeks.</w:t>
      </w:r>
    </w:p>
    <w:p>
      <w:pPr>
        <w:spacing w:after="0" w:line="198"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Patients were stratified based on age, baseline 6-minute walk distance, and use of corticosteroids. Patients were randomized in a 1:1:1 ratio to receive (i) placebo; (ii) daily dose of 40 mg/kg of Translarna, or the 40 mg group; and (iii) daily dose of 80 mg/kg of Translarna, or the 80 mg group.</w:t>
      </w:r>
    </w:p>
    <w:p>
      <w:pPr>
        <w:spacing w:after="0" w:line="139"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i w:val="1"/>
          <w:iCs w:val="1"/>
          <w:color w:val="auto"/>
        </w:rPr>
        <w:t xml:space="preserve">Pre-specified analysis in ITT population. </w:t>
      </w:r>
      <w:r>
        <w:rPr>
          <w:rFonts w:ascii="Arial" w:cs="Arial" w:eastAsia="Arial" w:hAnsi="Arial"/>
          <w:sz w:val="16"/>
          <w:szCs w:val="16"/>
          <w:color w:val="auto"/>
        </w:rPr>
        <w:t>We performed the primary analysis of the mean change in 6-minute walk distance from baseline to 48 weeks</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the trial protocol in the intent-to-treat, or ITT, population. The ITT population included all 174 randomized patients with a valid 6-minute walk test available at baseline and at least one post-baseline visit. Analysis of the results of the ITT population showed that patients in the 40 mg group had notably less decline in their walking ability than the patients taking placebo, with a difference of 29.7 meters between the 40 mg group and placebo in mean change in 6-minute walk distance over 48 weeks. Although this result was consistent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with the clinically meaningful treatment effect of 30 meters specified in the trial protocol, the resulting nominal p-value of 0.149 was not statistically significant at the pre-specified level of less than 0.05. Typically, a trial result is statistically significant if the chance of it occurring when the treatment is like placebo is less than one in 20, resulting in a p-value of less than 0.05. A p-value is called nominal if it is the result of one particular comparison when more than one comparison is possible, such as when two active treatments are compared to placebo or when two or more subgroups are analyzed</w:t>
      </w:r>
    </w:p>
    <w:p>
      <w:pPr>
        <w:spacing w:after="0" w:line="16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ITT population analysis showed that there was no difference between patients in the 80 mg group from placebo in mean change in 6-minute walk distance over 48 weeks. Although unanticipated, this finding is consistent with a bell-shaped dose-response curve that we observed in four subsequent non-clinical studies of Translarna in Duchenne muscular dystrophy and other genetic disorders. Under analysis of the ITT population, pre-specified measurements of supportive analyses of ambulation were not reached in any of the three treatment arms of the trial.</w:t>
      </w:r>
    </w:p>
    <w:p>
      <w:pPr>
        <w:spacing w:after="0" w:line="16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i w:val="1"/>
          <w:iCs w:val="1"/>
          <w:color w:val="auto"/>
        </w:rPr>
        <w:t xml:space="preserve">Post-hoc analyses of Phase 2b clinical trial data. </w:t>
      </w:r>
      <w:r>
        <w:rPr>
          <w:rFonts w:ascii="Arial" w:cs="Arial" w:eastAsia="Arial" w:hAnsi="Arial"/>
          <w:sz w:val="18"/>
          <w:szCs w:val="18"/>
          <w:color w:val="auto"/>
        </w:rPr>
        <w:t>Based on our further evaluation of the data from our Phase 2b clinical trial after unblinding the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we identified three issues affecting the pre-specified statistical analyses. We addressed these issues in a post-hoc, retrospective refinement to the pre-specified statistical analysis plan, resulting in what we refer to as a corrected ITT analysis.</w:t>
      </w:r>
    </w:p>
    <w:p>
      <w:pPr>
        <w:spacing w:after="0" w:line="208" w:lineRule="exact"/>
        <w:rPr>
          <w:sz w:val="20"/>
          <w:szCs w:val="20"/>
          <w:color w:val="auto"/>
        </w:rPr>
      </w:pPr>
    </w:p>
    <w:p>
      <w:pPr>
        <w:ind w:left="1080" w:right="40" w:hanging="532"/>
        <w:spacing w:after="0" w:line="25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pre-specified statistical model used to calculate the p-value and significance of the trial results omitted a specific statistical term designed to address the potential relationship between the 6-minute walk distance results at baseline and at each subsequent patient visit. As has now become standard practice in analyses of repeated-measures data, we adjusted our statistical model to add this statistical term in preparing the corrected ITT analysis.</w:t>
      </w:r>
    </w:p>
    <w:p>
      <w:pPr>
        <w:spacing w:after="0" w:line="224" w:lineRule="exact"/>
        <w:rPr>
          <w:rFonts w:ascii="Arial" w:cs="Arial" w:eastAsia="Arial" w:hAnsi="Arial"/>
          <w:sz w:val="18"/>
          <w:szCs w:val="18"/>
          <w:color w:val="auto"/>
        </w:rPr>
      </w:pPr>
    </w:p>
    <w:p>
      <w:pPr>
        <w:ind w:left="1080" w:right="80" w:hanging="532"/>
        <w:spacing w:after="0" w:line="29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Because the 6-minute walk distance data were non-normally distributed, our pre-specified analysis used rank-transformed data in which the 6-minute walk distance values for each patient were ordered from smallest to largest and ranked from one to 174. However, ranking the data in this way did not fully reflect the large variability as measured in meters that we observed in the original 6-minute walk distance data. In the corrected ITT analysis, we used a re-randomization test, rather than rank transformation of the data, to address non-normality of the trial data. This re-randomization test allowed analysis of the 6-minute walk distance results in meters, rather than ranking the results relative to one another, to more accurately reflect the large variability in walking distances.</w:t>
      </w:r>
    </w:p>
    <w:p>
      <w:pPr>
        <w:spacing w:after="0" w:line="187" w:lineRule="exact"/>
        <w:rPr>
          <w:rFonts w:ascii="Arial" w:cs="Arial" w:eastAsia="Arial" w:hAnsi="Arial"/>
          <w:sz w:val="16"/>
          <w:szCs w:val="16"/>
          <w:color w:val="auto"/>
        </w:rPr>
      </w:pPr>
    </w:p>
    <w:p>
      <w:pPr>
        <w:ind w:left="1080" w:hanging="532"/>
        <w:spacing w:after="0" w:line="298"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Two patients had lower limb injuries after screening but prior to their baseline assessment. These injuries substantially affected their walking ability and led to aberrantly low baseline 6-minute walk distance values that did not accurately reflect their pre-treatment ambulatory ability. These baseline 6-minute walk tests were incorrectly classified as valid by the investigative site, and the resulting data should not have been included in the ITT analysis. In the corrected ITT analysis, we replaced the baseline values for these two patients with their valid screening values.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results of our post-hoc analysis of the primary efficacy endpoint of this trial are shown in the table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 in 6-minute walk distance from baseline to week 48 (corrected ITT analysis)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Treatment arm</w:t>
            </w: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Translarna</w:t>
            </w: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Translarna</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40 mg/kg/day</w:t>
            </w: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80 mg/kg/day</w:t>
            </w:r>
          </w:p>
        </w:tc>
        <w:tc>
          <w:tcPr>
            <w:tcW w:w="0" w:type="dxa"/>
            <w:vAlign w:val="bottom"/>
          </w:tcPr>
          <w:p>
            <w:pPr>
              <w:spacing w:after="0"/>
              <w:rPr>
                <w:sz w:val="1"/>
                <w:szCs w:val="1"/>
                <w:color w:val="auto"/>
              </w:rPr>
            </w:pPr>
          </w:p>
        </w:tc>
      </w:tr>
      <w:tr>
        <w:trPr>
          <w:trHeight w:val="161"/>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Summary of change from baseline to week 48</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Placebo N=57</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N=57</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Mean (standard deviation), meters</w:t>
            </w:r>
          </w:p>
        </w:tc>
        <w:tc>
          <w:tcPr>
            <w:tcW w:w="2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8"/>
              </w:rPr>
              <w:t>–44.1 (88.0)</w:t>
            </w:r>
          </w:p>
        </w:tc>
        <w:tc>
          <w:tcPr>
            <w:tcW w:w="1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–12.9 (72.0)</w:t>
            </w:r>
          </w:p>
        </w:tc>
        <w:tc>
          <w:tcPr>
            <w:tcW w:w="1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–44.8 (84.8)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Mean difference from placebo, meters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Nominal p-value (vs. placebo)</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0.0281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Adjusted p-value (vs. placebo)</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0.0561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the corrected ITT analysis, the difference between the 40 mg group and placebo in mean change in 6-minute walk distance over 48 weeks was 31.3 meters. We observed clear separation between the 40 mg group and placebo, with the difference between the arms increasingly favoring the 40 mg group over time. The resulting nominal p-value for the comparison of mean change in 6- minute walk distance from baseline to week 48 for the 40 mg group versus placebo was 0.0281. However, because two dose levels were compared to placebo, we were required to apply a multiplicity adjustment, which yielded a final adjusted p-value of 0.0561 for the 40 mg group versus placebo.</w:t>
      </w:r>
    </w:p>
    <w:p>
      <w:pPr>
        <w:spacing w:after="0" w:line="19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Although we believe that our additional analyses of the trial results were warranted, a retrospective analysis performed after unblinding trial results can result in the introduction of bias if the analysis is inappropriately tailored or influenced by knowledge of the data and actual results. In addition, nominal p-values cannot be compared to the benchmark p-value of 0.05 to determine statistical significance without being adjusted for the testing of multiple dose groups or analyses of subgroups. Because of these limitations, regulatory authorities typically give greatest weight to results from pre- specified analyses and adjusted p-values and less weight to results from post-hoc, retrospective analyses and nominal p-values.</w:t>
      </w:r>
    </w:p>
    <w:p>
      <w:pPr>
        <w:spacing w:after="0" w:line="17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Secondary endpoints. </w:t>
      </w:r>
      <w:r>
        <w:rPr>
          <w:rFonts w:ascii="Arial" w:cs="Arial" w:eastAsia="Arial" w:hAnsi="Arial"/>
          <w:sz w:val="16"/>
          <w:szCs w:val="16"/>
          <w:color w:val="auto"/>
        </w:rPr>
        <w:t>Patients in the 40 mg group trended better than the placebo group in several of the secondary endpoints tracked during this trial,</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the trial was not powered to detect statistically significant differences in secondary endpoints. Patients in the 40 mg group and exceeded the clinically meaningful threshold of 1.5 seconds for stair-climbing and stair- descending in the ITT analysis and for running/walking in the corrected ITT analysis. In a supine to stand test, we did not observe any difference between Translarna and placebo. Other secondary endpoints showed trends favoring patients treated with Translarna, but at levels below a threshold considered to be clinically meaningful, including: muscle strength (tested through myometric evaluations), frequency of falls (based on patients/caregiver notation), and health related quality of life and treatment satisfaction (based on patient reports).</w:t>
      </w:r>
    </w:p>
    <w:p>
      <w:pPr>
        <w:spacing w:after="0" w:line="174" w:lineRule="exact"/>
        <w:rPr>
          <w:sz w:val="20"/>
          <w:szCs w:val="20"/>
          <w:color w:val="auto"/>
        </w:rPr>
      </w:pPr>
    </w:p>
    <w:p>
      <w:pPr>
        <w:ind w:right="80" w:firstLine="351"/>
        <w:spacing w:after="0" w:line="309" w:lineRule="auto"/>
        <w:rPr>
          <w:sz w:val="20"/>
          <w:szCs w:val="20"/>
          <w:color w:val="auto"/>
        </w:rPr>
      </w:pPr>
      <w:r>
        <w:rPr>
          <w:rFonts w:ascii="Arial" w:cs="Arial" w:eastAsia="Arial" w:hAnsi="Arial"/>
          <w:sz w:val="15"/>
          <w:szCs w:val="15"/>
          <w:i w:val="1"/>
          <w:iCs w:val="1"/>
          <w:color w:val="auto"/>
        </w:rPr>
        <w:t xml:space="preserve">Safety and tolerability. </w:t>
      </w:r>
      <w:r>
        <w:rPr>
          <w:rFonts w:ascii="Arial" w:cs="Arial" w:eastAsia="Arial" w:hAnsi="Arial"/>
          <w:sz w:val="15"/>
          <w:szCs w:val="15"/>
          <w:color w:val="auto"/>
        </w:rPr>
        <w:t>Translarna was generally well tolerated at both dose levels in our Phase 2b clinical trial. There were no study discontinuations due</w:t>
      </w:r>
      <w:r>
        <w:rPr>
          <w:rFonts w:ascii="Arial" w:cs="Arial" w:eastAsia="Arial" w:hAnsi="Arial"/>
          <w:sz w:val="15"/>
          <w:szCs w:val="15"/>
          <w:i w:val="1"/>
          <w:iCs w:val="1"/>
          <w:color w:val="auto"/>
        </w:rPr>
        <w:t xml:space="preserve"> </w:t>
      </w:r>
      <w:r>
        <w:rPr>
          <w:rFonts w:ascii="Arial" w:cs="Arial" w:eastAsia="Arial" w:hAnsi="Arial"/>
          <w:sz w:val="15"/>
          <w:szCs w:val="15"/>
          <w:color w:val="auto"/>
        </w:rPr>
        <w:t>to adverse events. Most treatment-emergent adverse events were mild or moderate in severity. Investigators' attributions of drug-related adverse effects were generally similar across the placebo and Translarna arms. The most common adverse events in this trial were vomiting (46.6% overall), headache (29.3%), diarrhea (24.1%), nasopharyngitis (20.7%), fever (19.0%), cough (19.0%) and upper abdominal pain (17.8%). These events were generally balanced across treatment arms and are typical of pediatric illnesses. Adverse events with at least a 10% incidence in any treatment arm that were seen with increased frequency from the placebo group to the Translarna 40 mg dose group to the Translarna 80 mg dose group were nausea (12.3% for placebo, 14.0% for the Translarna 40 mg group and 16.7% for the Translarna 80 mg group), abdominal pain (7.0% for placebo, 12.3% for the Translarna 40 mg group and 16.7% for the Translarna 80 mg group), pain in extremity (10.5% for placebo, 12.3% for the Translarna 40 mg group and 13.3% for the Translarna 80 mg group), flatulence (7.0% for placebo, 8.8% for the Translarna 40 mg group and 11.7% for the Translarna 80 mg group) and nasal congestion (7.0% for placebo, 8.8% for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Translarna 40 mg group and 10.0% for the Translarna 80 mg group). An overview of adverse events in this trial is shown in the table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treatment-emergent adverse events in Phase 2b clinical trial (as-treated population)</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8"/>
              </w:rPr>
              <w:t>Treatment arm</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Translarna</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Translarna</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Placebo</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40 mg group</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80 mg group</w:t>
            </w:r>
          </w:p>
        </w:tc>
        <w:tc>
          <w:tcPr>
            <w:tcW w:w="12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All patients</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Parameter</w:t>
            </w: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N=57</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N=57</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N=60</w:t>
            </w:r>
          </w:p>
        </w:tc>
        <w:tc>
          <w:tcPr>
            <w:tcW w:w="12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N=174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Patients with ³ 1 adverse event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(98.2)%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(96.5)%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 (95.0)%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(96.6)%</w:t>
            </w:r>
          </w:p>
        </w:tc>
        <w:tc>
          <w:tcPr>
            <w:tcW w:w="0" w:type="dxa"/>
            <w:vAlign w:val="bottom"/>
          </w:tcPr>
          <w:p>
            <w:pPr>
              <w:spacing w:after="0"/>
              <w:rPr>
                <w:sz w:val="1"/>
                <w:szCs w:val="1"/>
                <w:color w:val="auto"/>
              </w:rPr>
            </w:pPr>
          </w:p>
        </w:tc>
      </w:tr>
      <w:tr>
        <w:trPr>
          <w:trHeight w:val="209"/>
        </w:trPr>
        <w:tc>
          <w:tcPr>
            <w:tcW w:w="4760" w:type="dxa"/>
            <w:vAlign w:val="bottom"/>
            <w:gridSpan w:val="3"/>
          </w:tcPr>
          <w:p>
            <w:pPr>
              <w:spacing w:after="0"/>
              <w:rPr>
                <w:sz w:val="20"/>
                <w:szCs w:val="20"/>
                <w:color w:val="auto"/>
              </w:rPr>
            </w:pPr>
            <w:r>
              <w:rPr>
                <w:rFonts w:ascii="Arial" w:cs="Arial" w:eastAsia="Arial" w:hAnsi="Arial"/>
                <w:sz w:val="18"/>
                <w:szCs w:val="18"/>
                <w:color w:val="auto"/>
              </w:rPr>
              <w:t>Adverse events by severity</w:t>
            </w: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Grade 1 (mild)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(28.1)%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(33.3)%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Grade 2 (moderate)</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(45.6)%</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(54.4)%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 (45.0)%</w:t>
            </w: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Grade 3 (severe)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(14.0)%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 (16.7)%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Grade 4 (life-threatening)</w:t>
            </w:r>
          </w:p>
        </w:tc>
        <w:tc>
          <w:tcPr>
            <w:tcW w:w="3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Adverse events by relatedness</w:t>
            </w:r>
          </w:p>
        </w:tc>
        <w:tc>
          <w:tcPr>
            <w:tcW w:w="3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Unrelated</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(24.6)%</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(14.0)%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 (18.3)%</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Unlikely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(29.8)%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 (21.7)%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Possible</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(35.1)%</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(43.9)%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 (48.3)%</w:t>
            </w: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Probable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(10.5)%</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5 (8.8)%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 (6.7)%</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 (8.6)%</w:t>
            </w:r>
          </w:p>
        </w:tc>
        <w:tc>
          <w:tcPr>
            <w:tcW w:w="0" w:type="dxa"/>
            <w:vAlign w:val="bottom"/>
          </w:tcPr>
          <w:p>
            <w:pPr>
              <w:spacing w:after="0"/>
              <w:rPr>
                <w:sz w:val="1"/>
                <w:szCs w:val="1"/>
                <w:color w:val="auto"/>
              </w:rPr>
            </w:pPr>
          </w:p>
        </w:tc>
      </w:tr>
      <w:tr>
        <w:trPr>
          <w:trHeight w:val="210"/>
        </w:trPr>
        <w:tc>
          <w:tcPr>
            <w:tcW w:w="4760" w:type="dxa"/>
            <w:vAlign w:val="bottom"/>
            <w:gridSpan w:val="3"/>
          </w:tcPr>
          <w:p>
            <w:pPr>
              <w:spacing w:after="0"/>
              <w:rPr>
                <w:sz w:val="20"/>
                <w:szCs w:val="20"/>
                <w:color w:val="auto"/>
              </w:rPr>
            </w:pPr>
            <w:r>
              <w:rPr>
                <w:rFonts w:ascii="Arial" w:cs="Arial" w:eastAsia="Arial" w:hAnsi="Arial"/>
                <w:sz w:val="18"/>
                <w:szCs w:val="18"/>
                <w:color w:val="auto"/>
              </w:rPr>
              <w:t>Discontinuations due to adverse events</w:t>
            </w:r>
          </w:p>
        </w:tc>
        <w:tc>
          <w:tcPr>
            <w:tcW w:w="3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Serious adverse events</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 (5.3)%</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2 (3.5)%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 (3.3)%</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7 (4.0)%</w:t>
            </w: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Deaths</w:t>
            </w: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There were no serious adverse events observed during the trial that were considered possibly or probably related to Translarna. Determination of relatedness of the serious adverse event to Translarna was made by the trial investigator, based on his or her judgment.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2a clinical trial of Translarna for nmDMD</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October 2007, we announced the results of an open label Phase 2a clinical trial evaluating Translarna in 38 patients with nmDMD. The primary objective of this trial was to obtain indications of pharmacological activity. The primary efficacy endpoint in this trial was the change from baseline measurement of dystrophin levels in a muscle in the foot known as the extensor digitorum brevis. nmDMD patients enrolled in this trial were at least five years of age, had increased levels of serum creatine kinase, or CK, and had absent or diminished dystrophin protein on muscle biopsy. All participants in the trial received Translarna treatment for 28 days at one of three varying doses (12 mg/kg/day, 40 mg/kg/day and 80 mg/kg/day). In this trial, Translarna induced a mean 11.0% increase in muscle dystrophin expression over the 28 days of treatment, with 23 of the 38 patients (61%) showing an increase from baseline. We observed serum CK reductions in 35 of the 38 patients (92%) at the end of treatment. With cessation of Translarna treatment, mean serum CK concentrations reverted toward baseline. Changes in myometry scores and timed function tests were small and not statistically significant with 28 days of Translarna treatment. Anecdotal reports from the parents and teachers of several boys noted evidence of greater activity, increased endurance and less fatigue during Translarna administration. Pharmacokinetic results from this trial indicated that both the 40 mg/kg/day and the 80 mg/kg/day dose regimens achieved plasma concentrations of Translarna that were predicted to have a therapeutic effect, based on preclinical data. The 12 mg/kg/day regimen did not consistently achieve these levels, and as a result we did not include this dosing regimen in our subsequent Phase 2b clinical trial.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Observational study and open label, extension trials of Translarna for treatment of nmDMD</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are undertaking a multicenter, observational post-approval safety study of patients receiving Translarna on a commercial basis, per the Pharmacovigilance Risk Assessment Committee of the EMA and in collaboration with TREAT-NMD and the Cooperative International Neuromuscular Research Group. During the study we will gather data on Translarna safety, effectiveness, and prescription patterns in routine clinical practice. An open label, extension trial involving patients who participated in ACT DMD is also ongoing, across multiple sites in the United States, Europe and other territories. Two open label, extension trials involving patients from the United States, Europe, Israel, Australia, and Canada who had participated in our prior trials for nmDMD are also on-going.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Nonsense mutation cystic fibrosis (nmCF)</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Cystic fibrosis is among the most common life-threatening genetic disorders worldwide. It is caused by a mutation in the DNA that results in either the absence or very low levels of the cystic fibrosis transmembrane conductance regulator, or CFTR, protein. Cystic fibrosis results in the body producing abnormally thick and sticky mucus that clogs multiple organs, including the lungs, pancreas and liver. Cystic fibrosis leads to progressive loss of lung function, potentially life-threatening lung infections, permanent pancreatic damage and malnutrition. The average age of death for cystic fibrosis patients is approximately 27 years.</w:t>
      </w:r>
    </w:p>
    <w:p>
      <w:pPr>
        <w:spacing w:after="0" w:line="16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According to the Cystic Fibrosis Foundation, cystic fibrosis occurs in approximately one of every 3,500 live births in the United States, with approximately 1,000 new cases diagnosed each year in the United States. Commercially available genetic testing can determine if a patient's cystic fibrosis is caused by a nonsense mutation. According to the Cystic Fibrosis Foundation, the disease affects approximately 30,000 adults and children in the United States. Based on data from the Journal of Cystic Fibrosis, we believe the disease affects between approximately 37,000 and 42,000 adults and children in the European Union. Based on information from the Cystic Fibrosis Foundation, we estimate that nonsense mutations are the cause of cystic fibrosis in approximately 10% of patients, or approximately 3,000 patients in the United States and approximately 3,700 to 4,200 patients in the European Union.</w:t>
      </w:r>
    </w:p>
    <w:p>
      <w:pPr>
        <w:spacing w:after="0" w:line="174" w:lineRule="exact"/>
        <w:rPr>
          <w:sz w:val="20"/>
          <w:szCs w:val="20"/>
          <w:color w:val="auto"/>
        </w:rPr>
      </w:pPr>
    </w:p>
    <w:p>
      <w:pPr>
        <w:ind w:right="40" w:firstLine="351"/>
        <w:spacing w:after="0" w:line="235" w:lineRule="auto"/>
        <w:rPr>
          <w:sz w:val="20"/>
          <w:szCs w:val="20"/>
          <w:color w:val="auto"/>
        </w:rPr>
      </w:pPr>
      <w:r>
        <w:rPr>
          <w:rFonts w:ascii="Arial" w:cs="Arial" w:eastAsia="Arial" w:hAnsi="Arial"/>
          <w:sz w:val="18"/>
          <w:szCs w:val="18"/>
          <w:color w:val="auto"/>
        </w:rPr>
        <w:t>Mutations causing cystic fibrosis are categorized in five different classes, Class I through Class V. Class I consists of nonsense mutations and is the most severe because there is absence of CFTR production and no CFTR on the surface of the lung cells. Patients from six to 18 years of age with two Class I mutations, one on each of a pair of genes, have on average 10% lower forced expiratory volume in one second, or FEV</w:t>
      </w:r>
      <w:r>
        <w:rPr>
          <w:rFonts w:ascii="Arial" w:cs="Arial" w:eastAsia="Arial" w:hAnsi="Arial"/>
          <w:sz w:val="29"/>
          <w:szCs w:val="29"/>
          <w:color w:val="auto"/>
          <w:vertAlign w:val="subscript"/>
        </w:rPr>
        <w:t>1</w:t>
      </w:r>
      <w:r>
        <w:rPr>
          <w:rFonts w:ascii="Arial" w:cs="Arial" w:eastAsia="Arial" w:hAnsi="Arial"/>
          <w:sz w:val="18"/>
          <w:szCs w:val="18"/>
          <w:color w:val="auto"/>
        </w:rPr>
        <w:t>, measures than patients with two Class II mutations.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is a measure of the volume of air that has been exhaled at the end of the first second of forced expiration. Translarna targets Class I mutations. Class II mutations are targeted by corrector drugs, which promote the production or movement of CFTR protein from within the cell to the cell surface. In contrast, the milder mutations, Class III, IV and V, are targeted by potentiator drugs, which enhance the effect of abnormal CFTR that is already present on the cell surface.</w:t>
      </w:r>
    </w:p>
    <w:p>
      <w:pPr>
        <w:spacing w:after="0" w:line="213" w:lineRule="exact"/>
        <w:rPr>
          <w:sz w:val="20"/>
          <w:szCs w:val="20"/>
          <w:color w:val="auto"/>
        </w:rPr>
      </w:pPr>
    </w:p>
    <w:p>
      <w:pPr>
        <w:ind w:right="300" w:firstLine="348"/>
        <w:spacing w:after="0" w:line="255" w:lineRule="auto"/>
        <w:rPr>
          <w:sz w:val="20"/>
          <w:szCs w:val="20"/>
          <w:color w:val="auto"/>
        </w:rPr>
      </w:pPr>
      <w:r>
        <w:rPr>
          <w:rFonts w:ascii="Arial" w:cs="Arial" w:eastAsia="Arial" w:hAnsi="Arial"/>
          <w:sz w:val="18"/>
          <w:szCs w:val="18"/>
          <w:color w:val="auto"/>
        </w:rPr>
        <w:t>There is currently no marketed therapy approved to correct defective CFTR production and function in patients with nmCF. For nmCF patients, available treatments do not address the underlying cause of the disease and are designed only to alleviate the symptoms of the disease. These treatments include chest physical therapy to clear the thick mucus from the lungs, antibiotics to treat lung infections and a mucus-thinning drug designed to reduce the number of lung infections and improve lung function. In addition, the majority of cystic fibrosis patients take pancreatic enzyme supplements to assist with food absorption in digestion.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clinical development of Translarna in nonsense mutation cystic fibrosis</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Enrollment for ACT CF, our second global, confirmatory Phase 3 clinical trial of Translarna for patients with nmCF, was completed in November 2015. ACT CF was initiated in the second quarter of 2014 to evaluate the efficacy and safety of Translarna in patients with nmCF and is a randomized, double-blind, placebo-controlled, study of Translarna in patients six years of age or older with nmCF not receiving chronic inhaled aminoglycosides. We have enrolled approximately 280 patients in ACT CF and expect to have initial, top-line data available in early 2017.</w:t>
      </w:r>
    </w:p>
    <w:p>
      <w:pPr>
        <w:spacing w:after="0" w:line="167" w:lineRule="exact"/>
        <w:rPr>
          <w:sz w:val="20"/>
          <w:szCs w:val="20"/>
          <w:color w:val="auto"/>
        </w:rPr>
      </w:pPr>
    </w:p>
    <w:p>
      <w:pPr>
        <w:ind w:right="20" w:firstLine="348"/>
        <w:spacing w:after="0" w:line="205" w:lineRule="auto"/>
        <w:rPr>
          <w:sz w:val="20"/>
          <w:szCs w:val="20"/>
          <w:color w:val="auto"/>
        </w:rPr>
      </w:pPr>
      <w:r>
        <w:rPr>
          <w:rFonts w:ascii="Arial" w:cs="Arial" w:eastAsia="Arial" w:hAnsi="Arial"/>
          <w:sz w:val="18"/>
          <w:szCs w:val="18"/>
          <w:color w:val="auto"/>
        </w:rPr>
        <w:t>The primary objective of ACT CF is to evaluate the effect of Translarna on pulmonary function relative to placebo. The primary efficacy endpoint specified in our trial protocol is relative change in percent of predicted forced expiratory volume in one second, or FEV</w:t>
      </w:r>
      <w:r>
        <w:rPr>
          <w:rFonts w:ascii="Arial" w:cs="Arial" w:eastAsia="Arial" w:hAnsi="Arial"/>
          <w:sz w:val="29"/>
          <w:szCs w:val="29"/>
          <w:color w:val="auto"/>
          <w:vertAlign w:val="subscript"/>
        </w:rPr>
        <w:t>1</w:t>
      </w:r>
      <w:r>
        <w:rPr>
          <w:rFonts w:ascii="Arial" w:cs="Arial" w:eastAsia="Arial" w:hAnsi="Arial"/>
          <w:sz w:val="18"/>
          <w:szCs w:val="18"/>
          <w:color w:val="auto"/>
        </w:rPr>
        <w:t>. Percent of predicted FEV</w:t>
      </w:r>
      <w:r>
        <w:rPr>
          <w:rFonts w:ascii="Arial" w:cs="Arial" w:eastAsia="Arial" w:hAnsi="Arial"/>
          <w:sz w:val="29"/>
          <w:szCs w:val="29"/>
          <w:color w:val="auto"/>
          <w:vertAlign w:val="subscript"/>
        </w:rPr>
        <w:t>1</w:t>
      </w:r>
      <w:r>
        <w:rPr>
          <w:rFonts w:ascii="Arial" w:cs="Arial" w:eastAsia="Arial" w:hAnsi="Arial"/>
          <w:sz w:val="18"/>
          <w:szCs w:val="18"/>
          <w:color w:val="auto"/>
        </w:rPr>
        <w:t>, or %-predicted FEV</w:t>
      </w:r>
      <w:r>
        <w:rPr>
          <w:rFonts w:ascii="Arial" w:cs="Arial" w:eastAsia="Arial" w:hAnsi="Arial"/>
          <w:sz w:val="29"/>
          <w:szCs w:val="29"/>
          <w:color w:val="auto"/>
          <w:vertAlign w:val="subscript"/>
        </w:rPr>
        <w:t>1</w:t>
      </w:r>
      <w:r>
        <w:rPr>
          <w:rFonts w:ascii="Arial" w:cs="Arial" w:eastAsia="Arial" w:hAnsi="Arial"/>
          <w:sz w:val="18"/>
          <w:szCs w:val="18"/>
          <w:color w:val="auto"/>
        </w:rPr>
        <w:t>, is based on a comparison to healthy individuals matched for age, height and gender. Secondary efficacy endpoints in the trial include pulmonary exacerbation rate, based on specified signs and symptoms; respiratory health quality of life measures assessed by the CFQ-R respiratory domain; and body weight and body mass index.</w:t>
      </w:r>
    </w:p>
    <w:p>
      <w:pPr>
        <w:spacing w:after="0" w:line="210" w:lineRule="exact"/>
        <w:rPr>
          <w:sz w:val="20"/>
          <w:szCs w:val="20"/>
          <w:color w:val="auto"/>
        </w:rPr>
      </w:pPr>
    </w:p>
    <w:p>
      <w:pPr>
        <w:jc w:val="both"/>
        <w:ind w:firstLine="348"/>
        <w:spacing w:after="0" w:line="214" w:lineRule="auto"/>
        <w:rPr>
          <w:sz w:val="20"/>
          <w:szCs w:val="20"/>
          <w:color w:val="auto"/>
        </w:rPr>
      </w:pPr>
      <w:r>
        <w:rPr>
          <w:rFonts w:ascii="Arial" w:cs="Arial" w:eastAsia="Arial" w:hAnsi="Arial"/>
          <w:sz w:val="18"/>
          <w:szCs w:val="18"/>
          <w:color w:val="auto"/>
        </w:rPr>
        <w:t>The ACT CF trial protocol specifies certain key inclusion criteria for patients enrolling in the trial including that the patient must be at least six years of age, have sweat chloride in excess of a specified level as evidence of the severity of the disease, and have %-predicted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between 40% and 90% of those predicted for healthy people of similar age, sex, and height.</w:t>
      </w:r>
    </w:p>
    <w:p>
      <w:pPr>
        <w:spacing w:after="0" w:line="21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ACT CF trial protocol provides for the exclusion of patients from the trial if, among other things, they are receiving chronic inhaled aminoglycoside antibiotics or have used aminoglycosides within 28 days prior to screening, have recently been treated with intravenous antibiotics, have major complications of lung disease, or have previously received Translarna treatment.</w:t>
      </w:r>
    </w:p>
    <w:p>
      <w:pPr>
        <w:spacing w:after="0" w:line="194" w:lineRule="exact"/>
        <w:rPr>
          <w:sz w:val="20"/>
          <w:szCs w:val="20"/>
          <w:color w:val="auto"/>
        </w:rPr>
      </w:pPr>
    </w:p>
    <w:p>
      <w:pPr>
        <w:ind w:right="200" w:firstLine="351"/>
        <w:spacing w:after="0" w:line="209" w:lineRule="auto"/>
        <w:rPr>
          <w:sz w:val="20"/>
          <w:szCs w:val="20"/>
          <w:color w:val="auto"/>
        </w:rPr>
      </w:pPr>
      <w:r>
        <w:rPr>
          <w:rFonts w:ascii="Arial" w:cs="Arial" w:eastAsia="Arial" w:hAnsi="Arial"/>
          <w:sz w:val="18"/>
          <w:szCs w:val="18"/>
          <w:color w:val="auto"/>
        </w:rPr>
        <w:t>Study assessments will be performed at clinic visits every eight weeks during the 48 weeks of blinded treatment prior to the final analysis. Patients will be stratified based on age, screening %-predicted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and chronic use of inhaled antibiotics.</w:t>
      </w:r>
    </w:p>
    <w:p>
      <w:pPr>
        <w:spacing w:after="0" w:line="191" w:lineRule="exact"/>
        <w:rPr>
          <w:sz w:val="20"/>
          <w:szCs w:val="20"/>
          <w:color w:val="auto"/>
        </w:rPr>
      </w:pPr>
    </w:p>
    <w:p>
      <w:pPr>
        <w:ind w:right="100" w:firstLine="348"/>
        <w:spacing w:after="0" w:line="248" w:lineRule="auto"/>
        <w:rPr>
          <w:sz w:val="20"/>
          <w:szCs w:val="20"/>
          <w:color w:val="auto"/>
        </w:rPr>
      </w:pPr>
      <w:r>
        <w:rPr>
          <w:rFonts w:ascii="Arial" w:cs="Arial" w:eastAsia="Arial" w:hAnsi="Arial"/>
          <w:sz w:val="16"/>
          <w:szCs w:val="16"/>
          <w:color w:val="auto"/>
        </w:rPr>
        <w:t>The study population and outcome measures that we are using in ACT CF are based on, and reflect our analysis of the results of, our completed Phase 3 clinical trial for the treatment of nmCF, including data regarding relative change from baseline in %-predicted FEV</w:t>
      </w:r>
      <w:r>
        <w:rPr>
          <w:rFonts w:ascii="Arial" w:cs="Arial" w:eastAsia="Arial" w:hAnsi="Arial"/>
          <w:sz w:val="26"/>
          <w:szCs w:val="26"/>
          <w:color w:val="auto"/>
          <w:vertAlign w:val="subscript"/>
        </w:rPr>
        <w:t>1</w:t>
      </w:r>
      <w:r>
        <w:rPr>
          <w:rFonts w:ascii="Arial" w:cs="Arial" w:eastAsia="Arial" w:hAnsi="Arial"/>
          <w:sz w:val="16"/>
          <w:szCs w:val="16"/>
          <w:color w:val="auto"/>
        </w:rPr>
        <w:t>, and other earlier work. We believe that the data from this trial showed a positive trend favoring Translarna versus placebo on lung function in patients not receiving chronic inhaled tobramycin. We believe the outcomes observed in multiple endpoints between the subgroup of patients who were not prescribed chronic inhaled tobramycin and the subgroup of patients who were prescribed chronic inhaled tobramycin as well as post-hoc in vitro testing showing the interference of aminoglycoside antibiotics with Translarna activity support the hypothesis that inhaled tobramycin may interfere with Translarna's mechanism of action. Specifically, in patients not receiving chronic inhaled tobramycin in our completed Phase 3 clinical trial, we observed a difference in mean relative change from baseline in %-predicted FEV</w:t>
      </w:r>
      <w:r>
        <w:rPr>
          <w:rFonts w:ascii="Arial" w:cs="Arial" w:eastAsia="Arial" w:hAnsi="Arial"/>
          <w:sz w:val="26"/>
          <w:szCs w:val="26"/>
          <w:color w:val="auto"/>
          <w:vertAlign w:val="subscript"/>
        </w:rPr>
        <w:t>1</w:t>
      </w:r>
      <w:r>
        <w:rPr>
          <w:rFonts w:ascii="Arial" w:cs="Arial" w:eastAsia="Arial" w:hAnsi="Arial"/>
          <w:sz w:val="16"/>
          <w:szCs w:val="16"/>
          <w:color w:val="auto"/>
        </w:rPr>
        <w:t xml:space="preserve"> at week 48 of 5.7% favoring Translarna (nominal p=0.008), consistent with the targeted treatment effect size. Patients receiving chronic inhaled tobramycin did not show a benefit for Translarna compared to placebo in %-predicted FEV</w:t>
      </w:r>
      <w:r>
        <w:rPr>
          <w:rFonts w:ascii="Arial" w:cs="Arial" w:eastAsia="Arial" w:hAnsi="Arial"/>
          <w:sz w:val="26"/>
          <w:szCs w:val="26"/>
          <w:color w:val="auto"/>
          <w:vertAlign w:val="subscript"/>
        </w:rPr>
        <w:t>1</w:t>
      </w:r>
      <w:r>
        <w:rPr>
          <w:rFonts w:ascii="Arial" w:cs="Arial" w:eastAsia="Arial" w:hAnsi="Arial"/>
          <w:sz w:val="16"/>
          <w:szCs w:val="16"/>
          <w:color w:val="auto"/>
        </w:rPr>
        <w:t>. In contrast, the treatment effect was similar in patients receiving colistin or aztreonam compared to patients not receiving colistin or aztreonam. Additionally, patients not receiving chronic inhaled tobramycin had a 41% lower pulmonary exacerbation rate on Translarna than placebo (nominal p=0.005). Patients receiving chronic inhaled torbramycin did not show a benefit in pulmonary exacerbation rate on Translarna as compared to placebo.</w:t>
      </w:r>
    </w:p>
    <w:p>
      <w:pPr>
        <w:spacing w:after="0" w:line="212" w:lineRule="exact"/>
        <w:rPr>
          <w:sz w:val="20"/>
          <w:szCs w:val="20"/>
          <w:color w:val="auto"/>
        </w:rPr>
      </w:pPr>
    </w:p>
    <w:p>
      <w:pPr>
        <w:ind w:right="380" w:firstLine="341"/>
        <w:spacing w:after="0" w:line="332" w:lineRule="auto"/>
        <w:rPr>
          <w:sz w:val="20"/>
          <w:szCs w:val="20"/>
          <w:color w:val="auto"/>
        </w:rPr>
      </w:pPr>
      <w:r>
        <w:rPr>
          <w:rFonts w:ascii="Arial" w:cs="Arial" w:eastAsia="Arial" w:hAnsi="Arial"/>
          <w:sz w:val="16"/>
          <w:szCs w:val="16"/>
          <w:color w:val="auto"/>
        </w:rPr>
        <w:t>Accordingly, to focus on the patient population that we believe can most readily demonstrate the effect of Translarna, patients receiving chronic inhaled aminoglycoside antibiotics or who have used aminoglycosides within 28 days prior to screening are not eligible to participate in ACT CF.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label extension trials of Translarna for treatment of nmCF</w:t>
      </w:r>
    </w:p>
    <w:p>
      <w:pPr>
        <w:spacing w:after="0" w:line="22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An open label extension trial is available to ACT CF patients in countries where Translarna is not then commercially available upon each patient's successful completion of blinded treatment. Patients in the extension trial will receive Translarna in the same dosing regimen as in ACT CF. A different open label, extension trial is ongoing across multiple sites in the United States, Europe and Israel involving patients who participated in our prior Phase 3 trial in nmCF and who have not received chronic inhaled aminoglycosides within four weeks prior to screening.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regulatory status and strategy for Translarna in nmCF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Variation Submission with the EMA.</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During the third quarter of 2015, we submitted a Type II variation to our marketing authorization of Translarna in the EEA for the treatment of nmDMD, described above, to request approval of Translarna for the treatment of nmCF. Our variation submission was primarily based on the data from our prior completed Phase 3 clinical trial in nmCF.</w:t>
      </w:r>
    </w:p>
    <w:p>
      <w:pPr>
        <w:spacing w:after="0" w:line="194" w:lineRule="exact"/>
        <w:rPr>
          <w:sz w:val="20"/>
          <w:szCs w:val="20"/>
          <w:color w:val="auto"/>
        </w:rPr>
      </w:pPr>
    </w:p>
    <w:p>
      <w:pPr>
        <w:ind w:right="100" w:firstLine="341"/>
        <w:spacing w:after="0" w:line="335" w:lineRule="auto"/>
        <w:rPr>
          <w:sz w:val="20"/>
          <w:szCs w:val="20"/>
          <w:color w:val="auto"/>
        </w:rPr>
      </w:pPr>
      <w:r>
        <w:rPr>
          <w:rFonts w:ascii="Arial" w:cs="Arial" w:eastAsia="Arial" w:hAnsi="Arial"/>
          <w:sz w:val="15"/>
          <w:szCs w:val="15"/>
          <w:color w:val="auto"/>
        </w:rPr>
        <w:t>At its December 2015 meeting, the EMA's Committee for Medicinal Products for Human Use, or CHMP, discussed the efficacy of Translarna in nmCF patients as a whole and in a subgroup of patients without concomitant treatment with inhaled aminoglycosides and Translarna's potential for renal and urinary toxicity. At the meeting the CHMP adopted a request for supplementary information with respect to our variation submission and we are preparing our response.</w:t>
      </w:r>
    </w:p>
    <w:p>
      <w:pPr>
        <w:spacing w:after="0" w:line="142"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Approval of the marketing authorization variation by the European Commission will depend on the EMA's assessment of the relative benefits and risks of approval of Translarna for the treatment of nmCF and our ability to provide comprehensive clinical data from a confirmatory trial, such as ACT CF. We may not be able to demonstrate the required relative risk-benefit profile and there is substantial risk that the EMA will not grant us a variation approving Translarna for the treatment of nmCF. If approved, we expect that the EMA will require us, as a post-approval measure, to provide comprehensive clinical data from ACT CF to the EMA. In addition, unless and until we satisfy the conditions of our primary marketing authorization in the EEA for Translarna for the treatment of nmDMD, such authorization will continue to be subject to annual review and renewal by the European Commission following reassessment by the EMA. See "Item 1A. Risk Factors—Risks Related to Regulatory Approval of our Product and our Product Candidates" for further detail regarding the conditions of our marketing authorization in the EEA, including the annual EMA reassessment process and the factors taken into consideration by the EMA in connection with its risk benefit balance process.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 CF Trial Design.</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Prior to initiating ACT CF we concluded discussions with the EMA and FDA concerning the results of our prior completed Phase 3 clinical trial and our proposed trial protocol for ACT CF. Our interactions with the FDA regarding the clinical development design options which would have the potential to support an NDA in 2013 did not achieve a consensus between the EMA and FDA views. However, based on these interactions, we nonetheless proceeded with ACT CF consistent with feedback from the EMA on our trial design.</w:t>
      </w:r>
    </w:p>
    <w:p>
      <w:pPr>
        <w:spacing w:after="0" w:line="197" w:lineRule="exact"/>
        <w:rPr>
          <w:sz w:val="20"/>
          <w:szCs w:val="20"/>
          <w:color w:val="auto"/>
        </w:rPr>
      </w:pPr>
    </w:p>
    <w:p>
      <w:pPr>
        <w:ind w:firstLine="348"/>
        <w:spacing w:after="0" w:line="258" w:lineRule="auto"/>
        <w:rPr>
          <w:sz w:val="20"/>
          <w:szCs w:val="20"/>
          <w:color w:val="auto"/>
        </w:rPr>
      </w:pPr>
      <w:r>
        <w:rPr>
          <w:rFonts w:ascii="Arial" w:cs="Arial" w:eastAsia="Arial" w:hAnsi="Arial"/>
          <w:sz w:val="16"/>
          <w:szCs w:val="16"/>
          <w:color w:val="auto"/>
        </w:rPr>
        <w:t>We had interactions with the FDA in 2012 and 2013 with regards to, respectively, our completed Phase 3 clinical trial of Translarna for the treatment of nmCF and the clinical trial design which would have the potential to support an NDA. While we have incorporated feedback from the FDA into our ACT CF trial design, we believe that certain key recommendations from the FDA are not appropriate. Two of the key recommendations that we are in disagreement with are the designation of FEV</w:t>
      </w:r>
      <w:r>
        <w:rPr>
          <w:rFonts w:ascii="Arial" w:cs="Arial" w:eastAsia="Arial" w:hAnsi="Arial"/>
          <w:sz w:val="26"/>
          <w:szCs w:val="26"/>
          <w:color w:val="auto"/>
          <w:vertAlign w:val="subscript"/>
        </w:rPr>
        <w:t>1</w:t>
      </w:r>
      <w:r>
        <w:rPr>
          <w:rFonts w:ascii="Arial" w:cs="Arial" w:eastAsia="Arial" w:hAnsi="Arial"/>
          <w:sz w:val="16"/>
          <w:szCs w:val="16"/>
          <w:color w:val="auto"/>
        </w:rPr>
        <w:t>, CF pulmonary exacerbations, and body mass index as three co-primary endpoints for the trial and 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suggested three-year trial duration.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is the primary endpoint in ACT CF, with CF pulmonary exacerbations and body mass index as secondary endpoints, which is consistent with other clinical trials currently ongoing in cystic fibrosis and our earlier discussions with the FDA. Additionally, we believe that extending the study duration to three years would result in a number of complications that would ultimately limit the robustness of the data and conclusions that could be drawn from the results.</w:t>
      </w:r>
    </w:p>
    <w:p>
      <w:pPr>
        <w:spacing w:after="0" w:line="195" w:lineRule="exact"/>
        <w:rPr>
          <w:sz w:val="20"/>
          <w:szCs w:val="20"/>
          <w:color w:val="auto"/>
        </w:rPr>
      </w:pPr>
    </w:p>
    <w:p>
      <w:pPr>
        <w:ind w:right="140" w:firstLine="351"/>
        <w:spacing w:after="0" w:line="233" w:lineRule="auto"/>
        <w:rPr>
          <w:sz w:val="20"/>
          <w:szCs w:val="20"/>
          <w:color w:val="auto"/>
        </w:rPr>
      </w:pPr>
      <w:r>
        <w:rPr>
          <w:rFonts w:ascii="Arial" w:cs="Arial" w:eastAsia="Arial" w:hAnsi="Arial"/>
          <w:sz w:val="18"/>
          <w:szCs w:val="18"/>
          <w:color w:val="auto"/>
        </w:rPr>
        <w:t>During 2015, the FDA approved another company's drug based on data from two Phase 3 clinical trials for the treatment of cystic fibrosis caused by a Class II mutation. These trials used absolute change in percent predicted forced expiratory volume in one second as the primary endpoint and absolute change in body mass index and number of pulmonary exacerbations as secondary endpoints. We believe the endpoints utilized in these trials are consistent with the endpoints we are utilizing in ACT CF. Additionally, we believe that the results achieved in these trials support our position that stabilization or moderate improvement in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outcomes over the course of 48 weeks is clinically meaningful in more severe classes of cystic fibrosis. However, there can be no assurance that the FDA will agree with our interpretation of this data or the conclusions we have reached, even if we successfully achieve the primary and secondary endpoints established for ACT CF.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clinical trials of Translarna in nonsense mutation cystic fibrosis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3 trial in nonsense mutation cystic fibrosis</w:t>
      </w:r>
    </w:p>
    <w:p>
      <w:pPr>
        <w:spacing w:after="0" w:line="225" w:lineRule="exact"/>
        <w:rPr>
          <w:sz w:val="20"/>
          <w:szCs w:val="20"/>
          <w:color w:val="auto"/>
        </w:rPr>
      </w:pPr>
    </w:p>
    <w:p>
      <w:pPr>
        <w:ind w:right="200" w:firstLine="351"/>
        <w:spacing w:after="0" w:line="222"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In June 2012, we announced the results of a multicenter, international, randomized, double-blind, placebo controlled Phase 3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assessing the effects of Translarna in 238 patients with nmCF. The primary objective of this trial was to evaluate the effect of Translarna on pulmonary function relative to placebo. The primary efficacy endpoint was relative change in %-predicted FEV</w:t>
      </w:r>
      <w:r>
        <w:rPr>
          <w:rFonts w:ascii="Arial" w:cs="Arial" w:eastAsia="Arial" w:hAnsi="Arial"/>
          <w:sz w:val="29"/>
          <w:szCs w:val="29"/>
          <w:color w:val="auto"/>
          <w:vertAlign w:val="subscript"/>
        </w:rPr>
        <w:t>1</w:t>
      </w:r>
      <w:r>
        <w:rPr>
          <w:rFonts w:ascii="Arial" w:cs="Arial" w:eastAsia="Arial" w:hAnsi="Arial"/>
          <w:sz w:val="18"/>
          <w:szCs w:val="18"/>
          <w:color w:val="auto"/>
        </w:rPr>
        <w:t>. The trial assessed pulmonary exacerbation rate as a secondary efficacy endpoint.</w:t>
      </w:r>
    </w:p>
    <w:p>
      <w:pPr>
        <w:spacing w:after="0" w:line="8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Patients enrolled in this trial were at least six years of age, weighed at least 16 kilograms and had a %-predicted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between 40% and 90%, sweat chloride in excess of a specified level, a minimum level of resting oxygen saturation in the blood, and documentation of a nonsense mutation in at least one copy of the CFTR gene. We excluded patients from the trial if they had any change in treatment or prophylaxis for cystic fibrosis related conditions within four weeks prior to start of study treatment, had evidence of pulmonary exacerbation or acute upper or lower respiratory tract infection, were treated with intravenous antibiotics or had major complications of lung disease.</w:t>
      </w:r>
    </w:p>
    <w:p>
      <w:pPr>
        <w:spacing w:after="0" w:line="71" w:lineRule="exact"/>
        <w:rPr>
          <w:sz w:val="20"/>
          <w:szCs w:val="20"/>
          <w:color w:val="auto"/>
        </w:rPr>
      </w:pPr>
    </w:p>
    <w:p>
      <w:pPr>
        <w:jc w:val="both"/>
        <w:ind w:right="60" w:firstLine="348"/>
        <w:spacing w:after="0" w:line="222" w:lineRule="auto"/>
        <w:rPr>
          <w:sz w:val="20"/>
          <w:szCs w:val="20"/>
          <w:color w:val="auto"/>
        </w:rPr>
      </w:pPr>
      <w:r>
        <w:rPr>
          <w:rFonts w:ascii="Arial" w:cs="Arial" w:eastAsia="Arial" w:hAnsi="Arial"/>
          <w:sz w:val="18"/>
          <w:szCs w:val="18"/>
          <w:color w:val="auto"/>
        </w:rPr>
        <w:t>We stratified patients in this trial based on age, baseline %-predicted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and chronic use of inhaled antibiotics. Patients were randomized in a 1:1 ratio to receive placebo or Translarna at a daily dose of 40 mg/kg. The trial protocol specified a clinic visit every eight weeks to assess FEV</w:t>
      </w:r>
      <w:r>
        <w:rPr>
          <w:rFonts w:ascii="Arial" w:cs="Arial" w:eastAsia="Arial" w:hAnsi="Arial"/>
          <w:sz w:val="29"/>
          <w:szCs w:val="29"/>
          <w:color w:val="auto"/>
          <w:vertAlign w:val="subscript"/>
        </w:rPr>
        <w:t>1</w:t>
      </w:r>
      <w:r>
        <w:rPr>
          <w:rFonts w:ascii="Arial" w:cs="Arial" w:eastAsia="Arial" w:hAnsi="Arial"/>
          <w:sz w:val="18"/>
          <w:szCs w:val="18"/>
          <w:color w:val="auto"/>
        </w:rPr>
        <w:t>. The treatment duration was 48 weeks.</w:t>
      </w:r>
    </w:p>
    <w:p>
      <w:pPr>
        <w:spacing w:after="0" w:line="83" w:lineRule="exact"/>
        <w:rPr>
          <w:sz w:val="20"/>
          <w:szCs w:val="20"/>
          <w:color w:val="auto"/>
        </w:rPr>
      </w:pPr>
    </w:p>
    <w:p>
      <w:pPr>
        <w:ind w:right="160" w:firstLine="348"/>
        <w:spacing w:after="0" w:line="231" w:lineRule="auto"/>
        <w:rPr>
          <w:sz w:val="20"/>
          <w:szCs w:val="20"/>
          <w:color w:val="auto"/>
        </w:rPr>
      </w:pPr>
      <w:r>
        <w:rPr>
          <w:rFonts w:ascii="Arial" w:cs="Arial" w:eastAsia="Arial" w:hAnsi="Arial"/>
          <w:sz w:val="18"/>
          <w:szCs w:val="18"/>
          <w:color w:val="auto"/>
        </w:rPr>
        <w:t>We designed the trial to detect a mean relative change in %-predicted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from baseline to end of treatment at week 48 that was at least 6% greater in the Translarna arm than in the placebo arm. Of the 238 total patients, 120 patients received Translarna and 118 patients received placebo, with 34 patients withdrawing prematurely, including 20 patients on Translarna and 14 patients on placebo. As specified in the trial protocol, the ITT population included all randomized patients who had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data available at baseline and at least one post-baseline visit, resulting in 116 patients on Translarna and 116 patients on placebo being included in the ITT population.</w:t>
      </w:r>
    </w:p>
    <w:p>
      <w:pPr>
        <w:spacing w:after="0" w:line="21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percent of the initial total value that was changed is referred to as relative change. The change in percentage that is representative of the difference alone is referred to as absolute change. For example, when 50% changes to 55%, the result is a 10% relative change and a 5% absolute change.</w:t>
      </w:r>
    </w:p>
    <w:p>
      <w:pPr>
        <w:spacing w:after="0" w:line="12" w:lineRule="exact"/>
        <w:rPr>
          <w:sz w:val="20"/>
          <w:szCs w:val="20"/>
          <w:color w:val="auto"/>
        </w:rPr>
      </w:pPr>
    </w:p>
    <w:p>
      <w:pPr>
        <w:ind w:right="80" w:firstLine="351"/>
        <w:spacing w:after="0" w:line="284" w:lineRule="auto"/>
        <w:rPr>
          <w:sz w:val="20"/>
          <w:szCs w:val="20"/>
          <w:color w:val="auto"/>
        </w:rPr>
      </w:pPr>
      <w:r>
        <w:rPr>
          <w:rFonts w:ascii="Arial" w:cs="Arial" w:eastAsia="Arial" w:hAnsi="Arial"/>
          <w:sz w:val="18"/>
          <w:szCs w:val="18"/>
          <w:i w:val="1"/>
          <w:iCs w:val="1"/>
          <w:color w:val="auto"/>
        </w:rPr>
        <w:t xml:space="preserve">Primary analysis. </w:t>
      </w:r>
      <w:r>
        <w:rPr>
          <w:rFonts w:ascii="Arial" w:cs="Arial" w:eastAsia="Arial" w:hAnsi="Arial"/>
          <w:sz w:val="18"/>
          <w:szCs w:val="18"/>
          <w:color w:val="auto"/>
        </w:rPr>
        <w:t>The primary analysis of relative change in %-predicted FEV</w:t>
      </w:r>
      <w:r>
        <w:rPr>
          <w:rFonts w:ascii="Arial" w:cs="Arial" w:eastAsia="Arial" w:hAnsi="Arial"/>
          <w:sz w:val="29"/>
          <w:szCs w:val="29"/>
          <w:color w:val="auto"/>
          <w:vertAlign w:val="sub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trial showed a 3.0% difference (2.5% decrease on Translarna, 5.5%</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on placebo) at week 48 favoring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Translarna (p=0.124), which was not statistically significant. An analysis of relative change in %-predicted FEV</w:t>
      </w:r>
      <w:r>
        <w:rPr>
          <w:rFonts w:ascii="Arial" w:cs="Arial" w:eastAsia="Arial" w:hAnsi="Arial"/>
          <w:sz w:val="28"/>
          <w:szCs w:val="28"/>
          <w:color w:val="auto"/>
          <w:vertAlign w:val="subscript"/>
        </w:rPr>
        <w:t>1</w:t>
      </w:r>
      <w:r>
        <w:rPr>
          <w:rFonts w:ascii="Arial" w:cs="Arial" w:eastAsia="Arial" w:hAnsi="Arial"/>
          <w:sz w:val="17"/>
          <w:szCs w:val="17"/>
          <w:color w:val="auto"/>
        </w:rPr>
        <w:t xml:space="preserve"> based on the average treatment effect across all post-baseline visits showed a statistically significant difference of 2.5% favoring Translarna compared to placebo (1.8% decrease on Translarna, 4.3% decrease on placebo; p=0.0478). The analysis of treatment effect across all visits was part of the pre-specified statistical model for this trial and has served as the primary analysis of FEV</w:t>
      </w:r>
      <w:r>
        <w:rPr>
          <w:rFonts w:ascii="Arial" w:cs="Arial" w:eastAsia="Arial" w:hAnsi="Arial"/>
          <w:sz w:val="28"/>
          <w:szCs w:val="28"/>
          <w:color w:val="auto"/>
          <w:vertAlign w:val="subscript"/>
        </w:rPr>
        <w:t>1</w:t>
      </w:r>
      <w:r>
        <w:rPr>
          <w:rFonts w:ascii="Arial" w:cs="Arial" w:eastAsia="Arial" w:hAnsi="Arial"/>
          <w:sz w:val="17"/>
          <w:szCs w:val="17"/>
          <w:color w:val="auto"/>
        </w:rPr>
        <w:t xml:space="preserve"> data in other cystic fibrosis therapeutic trials conducted by other companies. The analysis of absolute change in %-predicted FEV</w:t>
      </w:r>
      <w:r>
        <w:rPr>
          <w:rFonts w:ascii="Arial" w:cs="Arial" w:eastAsia="Arial" w:hAnsi="Arial"/>
          <w:sz w:val="28"/>
          <w:szCs w:val="28"/>
          <w:color w:val="auto"/>
          <w:vertAlign w:val="subscript"/>
        </w:rPr>
        <w:t>1</w:t>
      </w:r>
      <w:r>
        <w:rPr>
          <w:rFonts w:ascii="Arial" w:cs="Arial" w:eastAsia="Arial" w:hAnsi="Arial"/>
          <w:sz w:val="17"/>
          <w:szCs w:val="17"/>
          <w:color w:val="auto"/>
        </w:rPr>
        <w:t xml:space="preserve"> at week 48 showed a 1.8% difference (1.3% decrease on Translarna, 3.1% decrease on placebo; p=0.136).</w:t>
      </w:r>
    </w:p>
    <w:p>
      <w:pPr>
        <w:spacing w:after="0" w:line="212" w:lineRule="exact"/>
        <w:rPr>
          <w:sz w:val="20"/>
          <w:szCs w:val="20"/>
          <w:color w:val="auto"/>
        </w:rPr>
      </w:pPr>
    </w:p>
    <w:p>
      <w:pPr>
        <w:ind w:right="80" w:firstLine="351"/>
        <w:spacing w:after="0" w:line="212" w:lineRule="auto"/>
        <w:rPr>
          <w:sz w:val="20"/>
          <w:szCs w:val="20"/>
          <w:color w:val="auto"/>
        </w:rPr>
      </w:pPr>
      <w:r>
        <w:rPr>
          <w:rFonts w:ascii="Arial" w:cs="Arial" w:eastAsia="Arial" w:hAnsi="Arial"/>
          <w:sz w:val="17"/>
          <w:szCs w:val="17"/>
          <w:i w:val="1"/>
          <w:iCs w:val="1"/>
          <w:color w:val="auto"/>
        </w:rPr>
        <w:t xml:space="preserve">Subgroup analysis of patients not receiving inhaled antibiotics. </w:t>
      </w:r>
      <w:r>
        <w:rPr>
          <w:rFonts w:ascii="Arial" w:cs="Arial" w:eastAsia="Arial" w:hAnsi="Arial"/>
          <w:sz w:val="17"/>
          <w:szCs w:val="17"/>
          <w:color w:val="auto"/>
        </w:rPr>
        <w:t>As described above, we pre-specified three stratification factors in this trial: age, baseline</w:t>
      </w:r>
      <w:r>
        <w:rPr>
          <w:rFonts w:ascii="Arial" w:cs="Arial" w:eastAsia="Arial" w:hAnsi="Arial"/>
          <w:sz w:val="17"/>
          <w:szCs w:val="17"/>
          <w:i w:val="1"/>
          <w:iCs w:val="1"/>
          <w:color w:val="auto"/>
        </w:rPr>
        <w:t xml:space="preserve"> </w:t>
      </w:r>
      <w:r>
        <w:rPr>
          <w:rFonts w:ascii="Arial" w:cs="Arial" w:eastAsia="Arial" w:hAnsi="Arial"/>
          <w:sz w:val="17"/>
          <w:szCs w:val="17"/>
          <w:color w:val="auto"/>
        </w:rPr>
        <w:t>FEV</w:t>
      </w:r>
      <w:r>
        <w:rPr>
          <w:rFonts w:ascii="Arial" w:cs="Arial" w:eastAsia="Arial" w:hAnsi="Arial"/>
          <w:sz w:val="28"/>
          <w:szCs w:val="28"/>
          <w:color w:val="auto"/>
          <w:vertAlign w:val="subscript"/>
        </w:rPr>
        <w:t>1</w:t>
      </w:r>
      <w:r>
        <w:rPr>
          <w:rFonts w:ascii="Arial" w:cs="Arial" w:eastAsia="Arial" w:hAnsi="Arial"/>
          <w:sz w:val="17"/>
          <w:szCs w:val="17"/>
          <w:color w:val="auto"/>
        </w:rPr>
        <w:t>, and chronic use of inhaled antibiotics. In this trial, there was a statistically significant interaction (nominal p=0.0072) between treatment and chronic inhaled antibiotic use. As discussed in more detail below, we believe that the inhaled antibiotic tobramycin interfered with Translarna's mechanism of action. The interactions between treatment and age and between treatment and baseline %-predicted FEV</w:t>
      </w:r>
      <w:r>
        <w:rPr>
          <w:rFonts w:ascii="Arial" w:cs="Arial" w:eastAsia="Arial" w:hAnsi="Arial"/>
          <w:sz w:val="28"/>
          <w:szCs w:val="28"/>
          <w:color w:val="auto"/>
          <w:vertAlign w:val="subscript"/>
        </w:rPr>
        <w:t>1</w:t>
      </w:r>
      <w:r>
        <w:rPr>
          <w:rFonts w:ascii="Arial" w:cs="Arial" w:eastAsia="Arial" w:hAnsi="Arial"/>
          <w:sz w:val="17"/>
          <w:szCs w:val="17"/>
          <w:color w:val="auto"/>
        </w:rPr>
        <w:t xml:space="preserve"> were not significant.</w:t>
      </w:r>
    </w:p>
    <w:p>
      <w:pPr>
        <w:spacing w:after="0" w:line="66" w:lineRule="exact"/>
        <w:rPr>
          <w:sz w:val="20"/>
          <w:szCs w:val="20"/>
          <w:color w:val="auto"/>
        </w:rPr>
      </w:pPr>
    </w:p>
    <w:p>
      <w:pPr>
        <w:ind w:right="40" w:firstLine="351"/>
        <w:spacing w:after="0" w:line="261" w:lineRule="auto"/>
        <w:rPr>
          <w:sz w:val="20"/>
          <w:szCs w:val="20"/>
          <w:color w:val="auto"/>
        </w:rPr>
      </w:pPr>
      <w:r>
        <w:rPr>
          <w:rFonts w:ascii="Arial" w:cs="Arial" w:eastAsia="Arial" w:hAnsi="Arial"/>
          <w:sz w:val="16"/>
          <w:szCs w:val="16"/>
          <w:color w:val="auto"/>
        </w:rPr>
        <w:t>For the subgroup of patients not receiving chronic inhaled antibiotics, the difference in mean relative changes from baseline in %-predicted FEV</w:t>
      </w:r>
      <w:r>
        <w:rPr>
          <w:rFonts w:ascii="Arial" w:cs="Arial" w:eastAsia="Arial" w:hAnsi="Arial"/>
          <w:sz w:val="26"/>
          <w:szCs w:val="26"/>
          <w:color w:val="auto"/>
          <w:vertAlign w:val="subscript"/>
        </w:rPr>
        <w:t>1</w:t>
      </w:r>
      <w:r>
        <w:rPr>
          <w:rFonts w:ascii="Arial" w:cs="Arial" w:eastAsia="Arial" w:hAnsi="Arial"/>
          <w:sz w:val="16"/>
          <w:szCs w:val="16"/>
          <w:color w:val="auto"/>
        </w:rPr>
        <w:t xml:space="preserve"> at week 48 was 6.7% favoring Translarna (nominal p=0.013). The average treatment effect across all post-baseline visits was 5.6% (nominal p=0.0006). For absolute change in %-predicted FEV</w:t>
      </w:r>
      <w:r>
        <w:rPr>
          <w:rFonts w:ascii="Arial" w:cs="Arial" w:eastAsia="Arial" w:hAnsi="Arial"/>
          <w:sz w:val="26"/>
          <w:szCs w:val="26"/>
          <w:color w:val="auto"/>
          <w:vertAlign w:val="subscript"/>
        </w:rPr>
        <w:t>1</w:t>
      </w:r>
      <w:r>
        <w:rPr>
          <w:rFonts w:ascii="Arial" w:cs="Arial" w:eastAsia="Arial" w:hAnsi="Arial"/>
          <w:sz w:val="16"/>
          <w:szCs w:val="16"/>
          <w:color w:val="auto"/>
        </w:rPr>
        <w:t>, the average treatment effect across all post-baseline visits was 2.4% (nominal p=0.037). In contrast, patients that received chronic inhaled antibiotics and Translarna did not exhibit a difference compared to patients that received chronic inhaled antibiotics and placebo.</w:t>
      </w:r>
    </w:p>
    <w:p>
      <w:pPr>
        <w:spacing w:after="0" w:line="184" w:lineRule="exact"/>
        <w:rPr>
          <w:sz w:val="20"/>
          <w:szCs w:val="20"/>
          <w:color w:val="auto"/>
        </w:rPr>
      </w:pPr>
    </w:p>
    <w:p>
      <w:pPr>
        <w:ind w:right="220" w:firstLine="341"/>
        <w:spacing w:after="0" w:line="239" w:lineRule="auto"/>
        <w:rPr>
          <w:sz w:val="20"/>
          <w:szCs w:val="20"/>
          <w:color w:val="auto"/>
        </w:rPr>
      </w:pPr>
      <w:r>
        <w:rPr>
          <w:rFonts w:ascii="Arial" w:cs="Arial" w:eastAsia="Arial" w:hAnsi="Arial"/>
          <w:sz w:val="16"/>
          <w:szCs w:val="16"/>
          <w:color w:val="auto"/>
        </w:rPr>
        <w:t>Approximately 37% of patients in the trial were receiving the chronic inhaled antibiotic tobramycin, and approximately 45% of patients were receiving no chronic inhaled antibiotic. Other chronic inhaled antibiotics that patients received were colistin or aztreonam. We performed analyses comparing patients not receiving chronic inhaled tobramycin to patients receiving chronic inhaled tobramycin. In patients not receiving chronic inhaled tobramycin, the difference in mean relative change from baseline in %-predicted FEV</w:t>
      </w:r>
      <w:r>
        <w:rPr>
          <w:rFonts w:ascii="Arial" w:cs="Arial" w:eastAsia="Arial" w:hAnsi="Arial"/>
          <w:sz w:val="26"/>
          <w:szCs w:val="26"/>
          <w:color w:val="auto"/>
          <w:vertAlign w:val="subscript"/>
        </w:rPr>
        <w:t>1</w:t>
      </w:r>
      <w:r>
        <w:rPr>
          <w:rFonts w:ascii="Arial" w:cs="Arial" w:eastAsia="Arial" w:hAnsi="Arial"/>
          <w:sz w:val="16"/>
          <w:szCs w:val="16"/>
          <w:color w:val="auto"/>
        </w:rPr>
        <w:t xml:space="preserve"> at week 48 was 5.7% favoring Translarna (nominal p=0.008), consistent with the targeted treatment effect size. Patients receiving chronic inhaled tobramycin did not show a benefit for Translarna compared to placebo in %-predicted FEV</w:t>
      </w:r>
      <w:r>
        <w:rPr>
          <w:rFonts w:ascii="Arial" w:cs="Arial" w:eastAsia="Arial" w:hAnsi="Arial"/>
          <w:sz w:val="26"/>
          <w:szCs w:val="26"/>
          <w:color w:val="auto"/>
          <w:vertAlign w:val="subscript"/>
        </w:rPr>
        <w:t>1</w:t>
      </w:r>
      <w:r>
        <w:rPr>
          <w:rFonts w:ascii="Arial" w:cs="Arial" w:eastAsia="Arial" w:hAnsi="Arial"/>
          <w:sz w:val="16"/>
          <w:szCs w:val="16"/>
          <w:color w:val="auto"/>
        </w:rPr>
        <w:t>. In contrast, the treatment effect was similar in patients receiving colistin or aztreonam compared to patients not receiving colistin or aztreonam.</w:t>
      </w:r>
    </w:p>
    <w:p>
      <w:pPr>
        <w:spacing w:after="0" w:line="21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Both tobramycin and Translarna act through modulation of the ribosomal machinery. We believe that the binding of tobramycin to the ribosome may interfere with Translarna's mechanism of action. We explored this hypothesis in a functional cell-based translation assay. In this experiment, Translarna-induced read-through of premature stop codons was diminished when the cells were exposed to Translarna together with tobramycin or gentamicin, but not when Translarna was administered together with colistin or aztreonam, both of which are non-aminoglycosides.</w:t>
      </w:r>
    </w:p>
    <w:p>
      <w:pPr>
        <w:spacing w:after="0" w:line="167" w:lineRule="exact"/>
        <w:rPr>
          <w:sz w:val="20"/>
          <w:szCs w:val="20"/>
          <w:color w:val="auto"/>
        </w:rPr>
      </w:pPr>
    </w:p>
    <w:p>
      <w:pPr>
        <w:ind w:right="120" w:firstLine="351"/>
        <w:spacing w:after="0" w:line="249" w:lineRule="auto"/>
        <w:rPr>
          <w:sz w:val="20"/>
          <w:szCs w:val="20"/>
          <w:color w:val="auto"/>
        </w:rPr>
      </w:pPr>
      <w:r>
        <w:rPr>
          <w:rFonts w:ascii="Arial" w:cs="Arial" w:eastAsia="Arial" w:hAnsi="Arial"/>
          <w:sz w:val="15"/>
          <w:szCs w:val="15"/>
          <w:i w:val="1"/>
          <w:iCs w:val="1"/>
          <w:color w:val="auto"/>
        </w:rPr>
        <w:t xml:space="preserve">Subgroup analysis of patients under the age of 18 not receiving inhaled antibiotics. </w:t>
      </w:r>
      <w:r>
        <w:rPr>
          <w:rFonts w:ascii="Arial" w:cs="Arial" w:eastAsia="Arial" w:hAnsi="Arial"/>
          <w:sz w:val="15"/>
          <w:szCs w:val="15"/>
          <w:color w:val="auto"/>
        </w:rPr>
        <w:t>Natural history data for cystic fibrosis suggests that patients under</w:t>
      </w:r>
      <w:r>
        <w:rPr>
          <w:rFonts w:ascii="Arial" w:cs="Arial" w:eastAsia="Arial" w:hAnsi="Arial"/>
          <w:sz w:val="15"/>
          <w:szCs w:val="15"/>
          <w:i w:val="1"/>
          <w:iCs w:val="1"/>
          <w:color w:val="auto"/>
        </w:rPr>
        <w:t xml:space="preserve"> </w:t>
      </w:r>
      <w:r>
        <w:rPr>
          <w:rFonts w:ascii="Arial" w:cs="Arial" w:eastAsia="Arial" w:hAnsi="Arial"/>
          <w:sz w:val="15"/>
          <w:szCs w:val="15"/>
          <w:color w:val="auto"/>
        </w:rPr>
        <w:t>18 years of age experience more rapid rates of decline in pulmonary function. As noted above, post hoc analysis of data from this trial indicates that patients not using chronic inhaled antibiotics experienced a benefit in relative change from baseline in percent-predicted FEV</w:t>
      </w:r>
      <w:r>
        <w:rPr>
          <w:rFonts w:ascii="Arial" w:cs="Arial" w:eastAsia="Arial" w:hAnsi="Arial"/>
          <w:sz w:val="24"/>
          <w:szCs w:val="24"/>
          <w:color w:val="auto"/>
          <w:vertAlign w:val="subscript"/>
        </w:rPr>
        <w:t>1</w:t>
      </w:r>
      <w:r>
        <w:rPr>
          <w:rFonts w:ascii="Arial" w:cs="Arial" w:eastAsia="Arial" w:hAnsi="Arial"/>
          <w:sz w:val="15"/>
          <w:szCs w:val="15"/>
          <w:color w:val="auto"/>
        </w:rPr>
        <w:t xml:space="preserve"> favoring the Translarna-treated group versus placebo at week 48, with fewer pulmonary exacerbations in the Translarna-treated group. Given the natural history of the disease and the data from our previous Phase 3 trial, we undertook further analyses to compare pulmonary outcomes on the basis of age (under 18 years of age versus 18 years or older) in patients who did not use chronic inhaled antibotics. In this new subgroup analysis, Translarna patients under age 18 who did not use chronic inhaled antibiotics showed an increase in FEV</w:t>
      </w:r>
      <w:r>
        <w:rPr>
          <w:rFonts w:ascii="Arial" w:cs="Arial" w:eastAsia="Arial" w:hAnsi="Arial"/>
          <w:sz w:val="24"/>
          <w:szCs w:val="24"/>
          <w:color w:val="auto"/>
          <w:vertAlign w:val="subscript"/>
        </w:rPr>
        <w:t>1</w:t>
      </w:r>
      <w:r>
        <w:rPr>
          <w:rFonts w:ascii="Arial" w:cs="Arial" w:eastAsia="Arial" w:hAnsi="Arial"/>
          <w:sz w:val="15"/>
          <w:szCs w:val="15"/>
          <w:color w:val="auto"/>
        </w:rPr>
        <w:t xml:space="preserve"> over baseline, a mean relative change in predicted FEV</w:t>
      </w:r>
      <w:r>
        <w:rPr>
          <w:rFonts w:ascii="Arial" w:cs="Arial" w:eastAsia="Arial" w:hAnsi="Arial"/>
          <w:sz w:val="24"/>
          <w:szCs w:val="24"/>
          <w:color w:val="auto"/>
          <w:vertAlign w:val="subscript"/>
        </w:rPr>
        <w:t>1</w:t>
      </w:r>
      <w:r>
        <w:rPr>
          <w:rFonts w:ascii="Arial" w:cs="Arial" w:eastAsia="Arial" w:hAnsi="Arial"/>
          <w:sz w:val="15"/>
          <w:szCs w:val="15"/>
          <w:color w:val="auto"/>
        </w:rPr>
        <w:t xml:space="preserve"> of 8.4% (nominal p = 0.026) and an absolute change in predicted FEV</w:t>
      </w:r>
      <w:r>
        <w:rPr>
          <w:rFonts w:ascii="Arial" w:cs="Arial" w:eastAsia="Arial" w:hAnsi="Arial"/>
          <w:sz w:val="24"/>
          <w:szCs w:val="24"/>
          <w:color w:val="auto"/>
          <w:vertAlign w:val="subscript"/>
        </w:rPr>
        <w:t>1</w:t>
      </w:r>
      <w:r>
        <w:rPr>
          <w:rFonts w:ascii="Arial" w:cs="Arial" w:eastAsia="Arial" w:hAnsi="Arial"/>
          <w:sz w:val="15"/>
          <w:szCs w:val="15"/>
          <w:color w:val="auto"/>
        </w:rPr>
        <w:t xml:space="preserve"> of 5.4%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(nominal p = 0.019). In addition, Translarna patients under age 18 who did not use chronic inhaled antibiotics also showed a 60% reduction in exacerbation rate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(nominal p = 0.024).</w:t>
      </w:r>
    </w:p>
    <w:p>
      <w:pPr>
        <w:spacing w:after="0" w:line="219" w:lineRule="exact"/>
        <w:rPr>
          <w:sz w:val="20"/>
          <w:szCs w:val="20"/>
          <w:color w:val="auto"/>
        </w:rPr>
      </w:pPr>
    </w:p>
    <w:p>
      <w:pPr>
        <w:ind w:firstLine="351"/>
        <w:spacing w:after="0" w:line="230" w:lineRule="auto"/>
        <w:rPr>
          <w:sz w:val="20"/>
          <w:szCs w:val="20"/>
          <w:color w:val="auto"/>
        </w:rPr>
      </w:pPr>
      <w:r>
        <w:rPr>
          <w:rFonts w:ascii="Arial" w:cs="Arial" w:eastAsia="Arial" w:hAnsi="Arial"/>
          <w:sz w:val="18"/>
          <w:szCs w:val="18"/>
          <w:i w:val="1"/>
          <w:iCs w:val="1"/>
          <w:color w:val="auto"/>
        </w:rPr>
        <w:t xml:space="preserve">Pulmonary exacerbation rate. </w:t>
      </w:r>
      <w:r>
        <w:rPr>
          <w:rFonts w:ascii="Arial" w:cs="Arial" w:eastAsia="Arial" w:hAnsi="Arial"/>
          <w:sz w:val="18"/>
          <w:szCs w:val="18"/>
          <w:color w:val="auto"/>
        </w:rPr>
        <w:t>The secondary endpoint in this trial was pulmonary exacerbation rate, which is a measure of frequency of lung infections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cystic fibrosis.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and pulmonary exacerbation rate are the two most clinically important outcome measures in cystic fibrosis trials. In the ITT population, we observed a 23% lower pulmonary exacerbation rate in patients receiving Translarna than placebo (p=0.099). This result was not statistically significant. However, we also saw the tobramycin subgroup effect in this endpoint. Patients not receiving chronic inhaled tobramycin had a 41% lower pulmonary exacerbation rate on Translarna than placebo (nominal p=0.005). Patients receiving chronic inhaled torbramycin did not show a benefit in pulmonary exacerbation rate on Translarna as compared to placebo.</w:t>
      </w:r>
    </w:p>
    <w:p>
      <w:pPr>
        <w:spacing w:after="0" w:line="21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Tertiary Endpoints. </w:t>
      </w:r>
      <w:r>
        <w:rPr>
          <w:rFonts w:ascii="Arial" w:cs="Arial" w:eastAsia="Arial" w:hAnsi="Arial"/>
          <w:sz w:val="16"/>
          <w:szCs w:val="16"/>
          <w:color w:val="auto"/>
        </w:rPr>
        <w:t>In this trial, we assessed CFTR function by nasal transepithelial difference, or TEPD, and sweat chloride concentration as tertiary</w:t>
      </w:r>
      <w:r>
        <w:rPr>
          <w:rFonts w:ascii="Arial" w:cs="Arial" w:eastAsia="Arial" w:hAnsi="Arial"/>
          <w:sz w:val="16"/>
          <w:szCs w:val="16"/>
          <w:i w:val="1"/>
          <w:iCs w:val="1"/>
          <w:color w:val="auto"/>
        </w:rPr>
        <w:t xml:space="preserve"> </w:t>
      </w:r>
      <w:r>
        <w:rPr>
          <w:rFonts w:ascii="Arial" w:cs="Arial" w:eastAsia="Arial" w:hAnsi="Arial"/>
          <w:sz w:val="16"/>
          <w:szCs w:val="16"/>
          <w:color w:val="auto"/>
        </w:rPr>
        <w:t>endpoints. TEPD is assessed by means of a standardized, though complex, minimally invasive procedure. In the procedure, a small plastic catheter is used to assess electrical differences across the outer cell membrane of nasal mucosa cells in the nostril. Nasal TEPD is physiologically meaningful because nasal mucosa closely reflects CFTR activity in the lung epithelium. Because of the role of the CFTR protein in transporting chloride across cell membranes and because of the absence of this protein in cystic fibrosis patients, these patients have an abnormal TEPD chloride conductance. Sweat chloride concentration is a commonly used test to diagnose cystic fibrosis and is a measurement of CFTR activity in the sweat gland.</w:t>
      </w:r>
    </w:p>
    <w:p>
      <w:pPr>
        <w:spacing w:after="0" w:line="174"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number of clinical trials for CFTR restoration therapies have used sweat chloride concentration and nasal TEPD as pharmacodynamic endpoints. However, these two endpoints can exhibit varying results, likely because of differences in CFTR regulation and function in the sweat glands as compared to the nasal or lung mucosa, or variation in tissue penetration of different drugs.</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Nasal TEPD results were positive in our prior Phase 2 clinical trials discussed below, but sweat chloride testing was not positive in either Phase 2 clinical trial or in our Phase 3 clinical trial. In contrast with our Phase 2 clinical trials, in which we assessed TEPD at a small number of experienced sites, in the Phase 3 clinical trial, TEPD assessments were performed at all centers. This trial was the first time most centers had performed TEPD assessments. In this trial, TEPD results showed high variability and an unexpectedly high response rate on placebo.</w:t>
      </w:r>
    </w:p>
    <w:p>
      <w:pPr>
        <w:spacing w:after="0" w:line="197"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other tertiary endpoints in this trial were hourly cough rate, respiratory domain score from a questionnaire, inflammatory markers and lung computed tomography. Differences between Translarna and placebo for each of these endpoints were small and not statistically significant.</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Safety and tolerability. </w:t>
      </w:r>
      <w:r>
        <w:rPr>
          <w:rFonts w:ascii="Arial" w:cs="Arial" w:eastAsia="Arial" w:hAnsi="Arial"/>
          <w:sz w:val="16"/>
          <w:szCs w:val="16"/>
          <w:color w:val="auto"/>
        </w:rPr>
        <w:t>Translarna was generally well tolerated in this clinical trial, and there were generally similar adverse event profiles in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treated with Translarna and patients treated with placebo. Most serious adverse events were cystic fibrosis pulmonary exacerbations unrelated to study drug treatment. Most treatment-emergent adverse events were mild or moderate in severity. Investigators' attributions of severity and drug-relatedness were generally similar across the placebo and Translarna arms. The most common adverse events during this trial were cystic fibrosis pulmonary exacerbation (78.2% overall), cough (25.6%) and viral upper respiratory tract infection (21.0%). These events were slightly more frequent in the placebo arm and are typical of cystic fibrosis. Adverse events with at least a 10% incidence in any treatment arm that were seen with higher frequency in the Translarna arm were headache (11.9% for placebo and 16.7% for Translarna), abdominal pain (12.7% for placebo and 15.0% for Translarna), sinusitis (11.9% for placebo and 12.5% for Translarna) and vomiting (8.5% for placebo and 11.7% for Translarna). Eleven patients prematurely discontinued treatment because of adverse events, including eight in the Translarna arm and three in the placebo arm.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There were 19 patients with at least one treatment-emergent renal adverse event, including 15 patients receiving Translarna and 4 patients receiving placebo. In the Translarna arm, five adverse events that involved the renal system led to discontinuation. As compared to the placebo group, the Translarna treatment arm also had a higher incidence of adverse events of creatinine elevations, which can be an indication of impaired kidney function. These adverse events of creatinine elevations were generally mild and transient. In the Translarna treatment arm, clinically meaningful creatinine elevations of grade 3 or grade 4 were reported in conjunction with cystic fibrosis pulmonary exacerbations. These creatinine elevations were associated with concomitant treatment with antibiotics associated with impaired kidney functions, such as aminoglycosides or vancomycin. This led to the subsequent prohibition of concomitant use of Translarna and these potentially nephrotoxic antibiotics, which was successful in addressing this issue. The incidence of new-onset kidney stones was similar in both arms, with five patients in the Translarna arm and four patients in the placebo arm.</w:t>
      </w:r>
    </w:p>
    <w:p>
      <w:pPr>
        <w:spacing w:after="0" w:line="172"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serious adverse events observed during the trial that were considered possibly related to Translarna were biliary colic, elevated creatinine, pancreatitis, renal failure, urinary tract infection and urinary retention. Determination of relatedness of the serious adverse event to Translarna was made by the trial investigator, based on his or her judgment.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clinical trials of Translarna for treatment of nmCF</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2006, we completed two open label Phase 2 clinical trials of Translarna for the treatment of nmCF in a combined total of 47 patients age 18 years or older (at one site in Israel and four sites in the U.S.). In 2008, we completed a third open label Phase 2 clinical trial of Translarna for the treatment of nmCF in 30 patients between 6 and 18 years of age (at one site in France and two sites in Belgium). Each of these three trials had a treatment duration of 28 days and was designed in a comparable manner with the goals of obtaining indications of pharmacological activity and to assess dose-response, safety and pharmacokinetics. Each trial had two treatment cycles consisting of a two-week period of continuous Translarna treatment (with either 16 mg/kg per day or 40 mg/kg per day), and then a two-week follow-up period without Translarna treatment, with participants evaluated at the beginning and end of each two-week period in each cycle. We also conducted an open label, extension trial with a treatment duration of three months for the patients who completed the trial at the site in Israel.</w:t>
      </w:r>
    </w:p>
    <w:p>
      <w:pPr>
        <w:spacing w:after="0" w:line="172"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objective in each of these trials was to determine the change in CFTR-mediated chloride conductance in respiratory cells as measured between the beginning and end of treatment for each study participant. To make this determination, we measured the patient's TEPD. TEPD values are expressed in millivolts, or mV. A chloride conductance equal to or more electrically negative than –5.0 mV is generally considered to be in the normal range.</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all trials except those conducted at sites in the U.S., there were statistically significant improvements at the end of the Translarna treatment period in mean total chloride conductance and in the percentage of patients with a total chloride conductance response of at least a –5.0 mV improvement. There were also improvements in the percentage of patients with a chloride conductance in the normal range at the end of treatment. These results indicated the presence of pharmacological activity. These improvements were generally followed in the adult trials by reversions toward baseline with cessation of treatment during the follow-up period. In the trial conducted at sites in the U.S., we did not observe improvements in mean total chloride conductance.</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Translarna was generally well tolerated in these trials. Only one serious adverse event was considered possibly related to Translarna. Adverse events that were potentially drug-related were generally mild in severity. These adverse events included pain during urination in several patients. This issue resolved successfully with increased hydration. There were no clinically meaningful safety concerns identified in patients' physical examinations, vital sign measurements or electrocardiograms.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Translarna™ for additional indications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Over the last six years multiple independent investigators have conducted preclinical studies in which Translarna enabled readthrough of the premature stop codons from a large set of nonsense mutations across a diverse group of experimental models exhibiting various genetic disorders. The studies evaluated Translarna's ability to read through premature stop codons in mRNA in cell-free systems, transfected cell lines, mouse models and patient cells. Based on these studies by independent investigators in addition to our own trials and studies, we expect to continue to pursue additional indications for Translarna, including nmMPS I and aniridia caused by nonsense mutation and, via an investigator initiated study, Dravet syndrome/CDKL5 caused by nonsense mutation.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Nonsense mutation aniridia</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Aniridia is a genetic disorder due to mutations in the PAX6 gene associated with loss of eyesight and other symptoms. We estimate that approximately one-third of all aniridia cases are due to a nonsense mutation. In a prior study conducted by an independent investigator, Translarna-treated mice with nonsense mutation aniridia showed a significant increase in the PAX6 protein in a nonsense mutation PAX6 gene, but not in a PAX6 gene harboring a splice-site mutation. The investigators in this study found that Translarna not only inhibited disease progression, but also reversed corneal, lens and retinal malformation defects and restored electrical responses of the retina.</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investigational new drug, or IND, application to the FDA for the initiation of clinical assessment of Translarna in nonsense mutation aniridia has been accepted by the FDA. The first patient in the study, which we refer to as STAR, was dosed in February 2016. STAR is a Phase 2, randomized, double-masked, placebo-controlled study of Translarna in patients with aniridia caused by a nonsense mutation. Patients will receive masked study drug for 48 weeks followed by open-label Translarna for another 48 weeks. Safety and efficacy will be assessed.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Nonsense mutation Dravet syndrome/CDKL5</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Dravet syndrome and CDKL5 are two different genetically defined disorders of epilepsy. Dravet syndrome, also called severe myoclonic epilepsy of infancy, is a debilitating form of epilepsy caused by defects in the sodium voltage gated channel a1 subunit gene required for the proper function of brain cells. People with Dravet syndrome experience frequent seizures and developmental delays. CDKL5 is caused by a mutation of the Cyclin-dependent kinase-like 5 (CDKL5) gene leading to a lack of the protein critical in brain development. CDKL5 is characterized by in seizures starting early in life and severe developmental impairment.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IND for the initiation of clinical assessment of Translarna in nonsense mutation Dravet syndrome/CDKL5 has been submitted to the FDA.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Nonsense mutation Mucopolysaccharidosis type I (nmMPS I)</w:t>
      </w:r>
    </w:p>
    <w:p>
      <w:pPr>
        <w:spacing w:after="0" w:line="225" w:lineRule="exact"/>
        <w:rPr>
          <w:sz w:val="20"/>
          <w:szCs w:val="20"/>
          <w:color w:val="auto"/>
        </w:rPr>
      </w:pPr>
    </w:p>
    <w:p>
      <w:pPr>
        <w:jc w:val="both"/>
        <w:ind w:right="460" w:firstLine="351"/>
        <w:spacing w:after="0" w:line="256" w:lineRule="auto"/>
        <w:rPr>
          <w:sz w:val="20"/>
          <w:szCs w:val="20"/>
          <w:color w:val="auto"/>
        </w:rPr>
      </w:pPr>
      <w:r>
        <w:rPr>
          <w:rFonts w:ascii="Arial" w:cs="Arial" w:eastAsia="Arial" w:hAnsi="Arial"/>
          <w:sz w:val="18"/>
          <w:szCs w:val="18"/>
          <w:color w:val="auto"/>
        </w:rPr>
        <w:t>MPS I is an inherited genetic disorder caused by a deficiency in an essential enzyme that is responsible for the breakdown of byproducts of chemical reactions in the body's cells. It is estimated that 60 percent to 80 percent of cases of MPS I are caused by a nonsense mutation. While enzyme replacement therapies are on the market, there remains significant unmet medical need for the development of new treatments that can target the underlying cause of the disorder.</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first quarter of 2015, we amended the trial design for our Phase 2, multicenter, proof-of-concept study to evaluate the safety and pharmacokinetics of Translarna for the treatment of nmMPS I to include patients currently on enzyme replacement therapy, which has contributed to delays in site initiation and patient accrual. Patients enrolled will participate in the study for approximately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12 weeks of Translarna treatment. The pharmacodynamic activity of Translarna in nmMPS I will also be explored via assessment of GAG levels in cerebrospinal fluid, urine, and blood.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Spinal muscular atrophy program</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Spinal muscular atrophy is a genetic neuromuscular disease characterized by muscle wasting and weakness. The disease generally manifests early in life. Spinal muscular atrophy is caused by defects in the Survival Motor Neuron 1, or SMN1, gene that encodes the survival motor neuron, or SMN, protein. The SMN protein is critical to the health and survival of the nerve cells in the spinal cord responsible for muscle contraction. A second gene, SMN2, is very similar to SMN1, except that SMN2 produces SMN protein that is less effective because, unlike SMN1, SMN2 does not include a particular nucleotide sequence known as exon 7. According to the SMA Foundation, spinal muscular atrophy is the leading genetic cause of death in infants and toddlers. We estimate that spinal muscular atrophy affects approximately 20,000 to 30,000 children and adults in the United States, Europe and Japan and that one in 11,000 children are born with the disease. There is currently no marketed therapy approved to treat the underlying cause of spinal muscular atrophy. Currently available treatments for spinal muscular atrophy are only palliative.</w:t>
      </w:r>
    </w:p>
    <w:p>
      <w:pPr>
        <w:spacing w:after="0" w:line="172"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Using our alternative splicing technology and in collaboration with the SMA Foundation, we identified highly potent small molecule splicing modifiers that in non-clinical studies in cultured cells isolated from patients with spinal muscular atrophy increased both the inclusion of exon 7 in the SMN2 mRNA and the levels of SMN protein produced by SMN2. Importantly, in studies in transgenic mice carrying only the SMN2 gene, these compounds are orally bioavailable, penetrate the blood-brain barrier and increase the levels of full-length SMN2 mRNA and protein in brain, spinal cord, muscle and other tissues. In these same mouse studies, treatment with these compounds resulted in increased survival, restoration of body weight, prevention of motor neuron loss and improved motor function.</w:t>
      </w:r>
    </w:p>
    <w:p>
      <w:pPr>
        <w:spacing w:after="0" w:line="198"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In November 2011, we entered into a collaboration and licensing agreement with Roche which included a $30 million upfront payment, the potential for up to $460 million in milestone payments and royalties on net sales. Roche is responsible for pursuing clinical development of compounds from the research program under the collaboration and then commercializing any resulting products. A lead development compound, RG7800, was selected to move into IND-enabling studies in August 2013, triggering a milestone payment to us from Roche of $10 million. In 2014, we received two milestone payments from Roche totaling $17.5 million, one in January 2014 upon the initiation of a Phase 1 clinical study of RG7800 and in November 2014, upon the initiation of a Phase 2 clinical study of RG7800. We also previously received $13.3 million in sponsored research funding for this program from the Spinal Muscular Atrophy Foundation.</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 compounds are currently in clinical development within the SMA program, RG7800 and RG7916.</w:t>
      </w:r>
    </w:p>
    <w:p>
      <w:pPr>
        <w:spacing w:after="0" w:line="225"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In January 2016, we announced the initiation of a Phase 1 study in healthy volunteers to investigate the safety, tolerability, pharmacokinetics and pharmacodynamics of RG7916. Upon completion of this study, we and our collaboration partners expect to utilize data from this Phase 1 study to compare the profiles of the RG7800 and RG7916 compounds to determine the best path forward for our SMA program.</w:t>
      </w:r>
    </w:p>
    <w:p>
      <w:pPr>
        <w:spacing w:after="0" w:line="16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more advanced compound, RG7800, is the subject of a Phase 2 randomized, double-blind, placebo-controlled study called Moonfish in adult and pediatric patients with SMA. Dosing in the Moonfish trial was suspended in April 2015 and the trial was placed on clinical hold to investigate a non-clinical safety finding observed in a longer-term animal study. Clinical data from the first cohort of patients enrolled in the Moonfish study were highlighted during the fourth quarter of 2015 in a late breaking oral session at the 20th International Congress of the World Muscle Society. Results from the first cohort on Moonfish, which included 13 adult and adolescent SMA patients, demonstrated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SMN protein can be increased with RG7800, providing proof of mechanism for oral small molecule SMN2 splicing modifiers. Up to three-fold increases in the ratio of full length SMN2 mRNA to SMN2D7 mRNA and up to two-fold increases in SMN protein were observed versus baseline, as measured in whole blood. RG7800 was well tolerated over 12 weeks at a dose of 10 mg once daily. In addition, a dose-dependent effect on SMN2 alternative splicing was observed in a previous Phase 1 clinical study of RG7800 in healthy volunteers.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stem cell program</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Cancer stem cells have been identified in numerous tumor types as a subpopulation of tumor cells that have the ability to initiate a tumor, produce other cancer cell types, move freely and proliferate throughout the body without attaching to other cells or surfaces and resist chemotherapy and radiotherapy. Many researchers believe that the resistance of cancer stem cells to chemotherapy and radiotherapy is a key factor in the failure of current cancer treatments. The BMI1 protein, which is overexpressed in many tumor subtypes, is a critical component of the polycomb repressive complex 1, or PRC1. PRC1 modulates expression of genes that are important for cancer stem cell survival, maintenance, stabilization and differentiation. PRC1 is an epigenetic enzyme complex, meaning that it is able to modify DNA directly to modulate gene expression without altering the nucleotide sequence in the genetic code. As a critical and rate limiting component of PRC1, the BMI1 protein regulates the self-renewal of adult blood and central nervous system stem cells that regulate cell growth.</w:t>
      </w:r>
    </w:p>
    <w:p>
      <w:pPr>
        <w:spacing w:after="0" w:line="172"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 Phase 1 first-in-human, dose-escalation safety and pharmacokinetic open-label clinical study for our product candidate, PTC596, in advanced cancer patients with solid tumors initiated in April 2015 and is ongoing. Data from this study are expected in 2016.</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PTC596 is a first-in-class, orally bioavailable and potent small molecule that targets tumor stem cell populations by reducing the activity and amount of a protein called BMI1. Elevated levels of BMI1 are associated with more aggressive tumors and a poor prognosis in a wide variety of cancers, including glioblastoma. In in vitro assays, PTC596 preferentially depleted cancer stem cells derived from glioblastoma, fibrosarcoma, prostate and colon cancers. In contrast, the widely used cytotoxic chemotherapeutic agents carboplatin, temozolomide, methotrexate and indibulin enriched the population of cancer stem cells in these same assays.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animal cancer models using human tumors, 2x/week oral dosing of PTC596 provided tumor control, including reduction of tumor size. PTC596 and the commonly used chemotherapeutic agent, paclitaxel, both effectively controlled tumor growth in these animal models. However, PTC596, but not paclitaxel, decreased BMI1 levels, indicating a reduction in cancer stem cells. Consistent with this reduction in BMI1 levels, tumors treated with PTC596 had lower levels of cancer stem cells capable of initiating a new tumor than did either untreated tumors or tumors treated with paclitaxel when transplanted into a naïve mouse. PTC596 is well tolerated at therapeutically effective doses in animals. Preliminary data from animal models suggest that PTC596 may preferentially target cancer stem cells without targeting normal stem cells.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reducing levels of BMI1 therefore represents a promising new therapeutic strategy to treat drug and radiation- resistant cancers.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received grant funding of $5.4 million for our cancer stem cell program from the Wellcome Trust prior to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Antibacterial program</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are considering the status of our antibacterial program and the timing of potential advancement of a new compound for the treatment of life-threatening infections caused by multi-drug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resistant Gram-negative bacteria. Our goal is to select lead development compounds that have the potential to be formulated for both intravenous and oral administration.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Background of Post-Transcriptional Control Processes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Post-transcriptional control processes are the events that occur in cells following the transcription of DNA to make mRNA. These processes regulate how long an mRNA molecule lasts in the cell and how efficiently the mRNA is used to produce its protein.</w:t>
      </w:r>
    </w:p>
    <w:p>
      <w:pPr>
        <w:spacing w:after="0" w:line="186"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majority of human protein-encoding genes are not contiguous but have an interrupted structure consisting of nucleotides that comprise the mRNA, called exons. The genetic information, encoded by exons, is interrupted by stretches of nucleotides called introns that are removed immediately after the gene is transcribed from DNA to the precursor messenger RNA, or pre-mRNA. The process of intron removal is called splicing.</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mRNA contains multiple regions that have specific functions. Although the protein coding region of mRNA contains the instructions to manufacture the protein, portions of mRNA that do not directly code for proteins, known as untranslated regions, or UTRs, are unique to specific mRNAs and are directly involved in the post-transcriptional control of protein production. Interactions of factors in the cell with the UTRs on the mRNA can modulate the translational efficiency of mRNA and how mRNA is degraded and eliminated from the cell.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31" w:lineRule="exact"/>
        <w:rPr>
          <w:sz w:val="20"/>
          <w:szCs w:val="20"/>
          <w:color w:val="auto"/>
        </w:rPr>
      </w:pPr>
    </w:p>
    <w:p>
      <w:pPr>
        <w:ind w:right="100" w:firstLine="351"/>
        <w:spacing w:after="0" w:line="314" w:lineRule="auto"/>
        <w:rPr>
          <w:sz w:val="20"/>
          <w:szCs w:val="20"/>
          <w:color w:val="auto"/>
        </w:rPr>
      </w:pPr>
      <w:r>
        <w:rPr>
          <w:rFonts w:ascii="Arial" w:cs="Arial" w:eastAsia="Arial" w:hAnsi="Arial"/>
          <w:sz w:val="15"/>
          <w:szCs w:val="15"/>
          <w:color w:val="auto"/>
        </w:rPr>
        <w:t>Our approach to drug discovery and development is to systematically target post-transcriptional control processes that can be modulated by small- molecule therapeutics. We believe that focusing on post-transcriptional control processes will enable us both to address known drug targets through new mechanisms of action and to pursue a broad range of targets that have previously not been amenable to drug discovery. We believe that a large number of promising post-transcriptional control drug targets remain unexploited, providing a significant opportunity for our integrated and systematic approach to drug discovery. This technology also has broad applicability to address intractable drug targets in a wide variety of diseases for which there is an unmet medical need, including genetic disorders, cancer, and musculoskeletal disorders, as well as inflammation, metabolic disorders, cardiovascular conditions and neurological disorders.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RNA-Focused Small Molecule Technology Platform</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developed and assembled an integrated set of proprietary technologies focused on our understanding of RNA biology for the discovery of small molecules that target post-transcriptional control processes. Our technologies allow us to screen our compound library against targets in many different therapeutic areas in an expeditious and cost-effective manner. Our efforts span from target identification and characterization to the identification of selective lead molecules. From these lead molecules, our research team undertakes a chemical optimization program designed to select an appropriate development candidate. We refer to our technologies as GEMS, alternative splicing and nonsense suppression.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use our GEMS technology to identify molecules that modulate gene expression by targeting the post-transcriptional control processes that act through the UTRs of mRNA molecules. The UTRs of mRNA can have important roles in regulating protein production because they contain the instructions for determining the protein production efficiency and how long a given mRNA molecule will live within the cell.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identify target proteins of potential biological and medical relevance to human disease and assess their regulation through UTRs and clinical feasibility.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targets that we select, we precisely identify the UTRs of the target gene.</w:t>
      </w:r>
    </w:p>
    <w:p>
      <w:pPr>
        <w:spacing w:after="0" w:line="219"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We use proprietary assays to screen our library of over 300,000 compounds to identify those that enhance or inhibit expression of the target gene by modulating the post-transcriptional control processes that act through the 5'- and 3'- UTRs of the target mRNA.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Alternative splicing</w:t>
      </w:r>
    </w:p>
    <w:p>
      <w:pPr>
        <w:spacing w:after="0" w:line="225" w:lineRule="exact"/>
        <w:rPr>
          <w:sz w:val="20"/>
          <w:szCs w:val="20"/>
          <w:color w:val="auto"/>
        </w:rPr>
      </w:pPr>
    </w:p>
    <w:p>
      <w:pPr>
        <w:ind w:right="300" w:firstLine="348"/>
        <w:spacing w:after="0" w:line="255" w:lineRule="auto"/>
        <w:rPr>
          <w:sz w:val="20"/>
          <w:szCs w:val="20"/>
          <w:color w:val="auto"/>
        </w:rPr>
      </w:pPr>
      <w:r>
        <w:rPr>
          <w:rFonts w:ascii="Arial" w:cs="Arial" w:eastAsia="Arial" w:hAnsi="Arial"/>
          <w:sz w:val="18"/>
          <w:szCs w:val="18"/>
          <w:color w:val="auto"/>
        </w:rPr>
        <w:t>We use our alternative splicing technology to identify molecules that modulate mRNA splicing. Pre-mRNA splicing is a multi-step biochemical reaction. Approximately 94% of all human genes undergo splicing. In addition, through alternative splicing, one gene can often generate several mRNA products by including or excluding exons that can result in the mRNA being regulated differently or a different protein being produced. Altered regulation of alternative splicing is the direct cause of many human diseases, including many forms of cancer, Riley-Day syndrome (familial dysautonomia), myotonic dystrophy and spinal muscular atrophy.</w:t>
      </w:r>
    </w:p>
    <w:p>
      <w:pPr>
        <w:spacing w:after="0" w:line="197"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have developed a powerful high-throughput drug discovery technology that enables us to identify small molecule modifiers of pre-mRNA splicing. The technology relies on a sensitive quantification of mRNA directly in human cells or tissue samples. Using this technology, we have successfully identified orally bioavailable small molecules that correct splicing of the Survival Motor Neuron 2, or SMN2, gene, which is implicated in the genetic disorder spinal muscular atrophy. Based on this experience, we believe that other small molecule drug candidates can be rapidly identified that correct alternative splicing of genes, promote inclusion of specific exons into mRNA or force skipping of undesired exons from the mature mRNA. We believe that this technology is potentially widely applicable to a large number of target genes in all therapeutic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Nonsense suppression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use our nonsense suppression technology to identify molecules that promote or enhance nonsense suppression. The presence of a premature stop codon results in translation termination before a full-length protein can be produced. Our nonsense suppression technologies identify small molecules that increase nonsense suppression at the premature stop codon to produce a full-length protein. In addition to increasing read-through, small molecules that stabilize nonsense-containing mRNAs can enhance the effect of a compound that acts through the nonsense suppression mechanism.</w:t>
      </w:r>
    </w:p>
    <w:p>
      <w:pPr>
        <w:spacing w:after="0" w:line="16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Nonsense suppression also can be designed to identify molecules that can enhance the nonsense suppression effect of Translarna and other nonsense suppression agents to prevent the decay of nonsense-containing mRNAs, which we refer to as nonsense mediated decay. We have developed a high throughput screen to identify molecules that increase the level of nonsense-containing mRNAs. We can evaluate the effect of these molecules alone and in combination with Translarna in cell-based models of disease, identify lead compounds and initiate a chemical optimization program. We are currently in the process of evaluating compounds in preparation for an optimization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 and Funding Arrangements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currently have ongoing collaborations with Roche and the SMA Foundation. We also have received grant funding from Wellcome Trust pursuant to funding agreements under which we have continuing obligations. In addition to these material collaboration and funding agreements, which are described in more detail below, we have a collaboration focused on translational research for discovering and developing new treatments for orphan disorders with the University of Pennsylvania's Center for Orphan Disease Research &amp; Therapy. In addition, during 2015 we announced our research collaboration with Massachusetts General Hospital, or MGH, a Partners Healthcare hospital, for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treatment of rare genetic disorders resulting from pre-mRNA splicing defects pursuant to which we have certain licensing, development and commercialization obligations to MGH.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the SMA Foundation</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November 2011, we entered into a license and collaboration agreement with Roche and the SMA Foundation to further develop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commercialize compounds identified under our spinal muscular atrophy sponsored research program with the SMA Foundation and to research other small molecule compounds with potential for therapeutic use in patients with spinal muscular atrophy. The research term of this agreement was terminated effective December 31, 2014. The ongoing collaboration is governed by a joint steering committee consisting of an equal number of representatives of us, the SMA Foundation and Roche. We, the SMA Foundation and Roche have agreed to endeavor to make decisions by consensus, but if the joint steering committee cannot reach agreement after following a specified decision resolution procedure, Roche's decision will control. However, Roche may not exercise its final decision-making authority with respect to certain specified matters, including any decision that would increase our or the SMA Foundation's obligations, reduce our or the SMA Foundation's rights, expand Roche's rights, or reduce Roche's obligations under the license and collaboration agreement.</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Commercialization. </w:t>
      </w:r>
      <w:r>
        <w:rPr>
          <w:rFonts w:ascii="Arial" w:cs="Arial" w:eastAsia="Arial" w:hAnsi="Arial"/>
          <w:sz w:val="18"/>
          <w:szCs w:val="18"/>
          <w:color w:val="auto"/>
        </w:rPr>
        <w:t>We have granted Roche worldwide exclusive licenses, with the right to grant sublicenses, to our patent rights and know-how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such compounds and products. Roche is responsible for pursuing worldwide clinical development of compounds from the research program and has the exclusive right to develop and commercialize compounds from the collaboration.</w:t>
      </w:r>
    </w:p>
    <w:p>
      <w:pPr>
        <w:spacing w:after="0" w:line="194" w:lineRule="exact"/>
        <w:rPr>
          <w:sz w:val="20"/>
          <w:szCs w:val="20"/>
          <w:color w:val="auto"/>
        </w:rPr>
      </w:pPr>
    </w:p>
    <w:p>
      <w:pPr>
        <w:ind w:left="360"/>
        <w:spacing w:after="0"/>
        <w:tabs>
          <w:tab w:leader="none" w:pos="3100" w:val="left"/>
        </w:tabs>
        <w:rPr>
          <w:sz w:val="20"/>
          <w:szCs w:val="20"/>
          <w:color w:val="auto"/>
        </w:rPr>
      </w:pPr>
      <w:r>
        <w:rPr>
          <w:rFonts w:ascii="Arial" w:cs="Arial" w:eastAsia="Arial" w:hAnsi="Arial"/>
          <w:sz w:val="18"/>
          <w:szCs w:val="18"/>
          <w:i w:val="1"/>
          <w:iCs w:val="1"/>
          <w:color w:val="auto"/>
        </w:rPr>
        <w:t>Payments and Contingent Payments.</w:t>
      </w:r>
      <w:r>
        <w:rPr>
          <w:sz w:val="20"/>
          <w:szCs w:val="20"/>
          <w:color w:val="auto"/>
        </w:rPr>
        <w:tab/>
      </w:r>
      <w:r>
        <w:rPr>
          <w:rFonts w:ascii="Arial" w:cs="Arial" w:eastAsia="Arial" w:hAnsi="Arial"/>
          <w:sz w:val="15"/>
          <w:szCs w:val="15"/>
          <w:color w:val="auto"/>
        </w:rPr>
        <w:t>Pursuant to the license and collaboration agreement, Roche paid us an upfront non-refundable payment of</w:t>
      </w:r>
    </w:p>
    <w:p>
      <w:pPr>
        <w:spacing w:after="0" w:line="1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$30.0 million. During the research term, which was terminated effective December 31, 2014, Roche provided us with funding, based on an agreed- upon full-time equivalent rate, for an agreed-upon number of full- time equivalent employees that we contributed to the research program. We are eligible to receive up to an aggregate of $135 million in payments if specified development and regulatory milestones are achieved and up to an aggregate of $325 million in payments if specified sales milestones are achieved. To date, we have earned $27.5 million of these development and regulatory milestone payments based on the progression of the collaboration from the pre-clinical stage to Phase 2 clinical study in SMA patients. We are also entitled to tiered single-digit to mid-teen royalties on worldwide net product sales of products developed pursuant to the collaboration. Roche's obligation to pay us royalties will expire generally on a country-by-country basis at the latest of the expiration of the last-to-expire patent covering a product in the given country, the expiration of regulatory exclusivity for that product in such country or 10 years from the first commercial sale of that product in such country. However, the royalties payable to us may be decreased in certain circumstances. For example, the royalty rate in a particular country is reduced if the product is not protected by patents in that country and no longer entitled to regulatory exclusivity in that country. We remain responsible for making any payments to the SMA Foundation that may become due under our pre-existing sponsored research agreement with the SMA Foundation.</w:t>
      </w:r>
    </w:p>
    <w:p>
      <w:pPr>
        <w:spacing w:after="0" w:line="17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Unless terminated earlier, the license and collaboration agreement will expire on the date when no royalty or other payment obligations are or</w:t>
      </w:r>
      <w:r>
        <w:rPr>
          <w:rFonts w:ascii="Arial" w:cs="Arial" w:eastAsia="Arial" w:hAnsi="Arial"/>
          <w:sz w:val="16"/>
          <w:szCs w:val="16"/>
          <w:i w:val="1"/>
          <w:iCs w:val="1"/>
          <w:color w:val="auto"/>
        </w:rPr>
        <w:t xml:space="preserve"> </w:t>
      </w:r>
      <w:r>
        <w:rPr>
          <w:rFonts w:ascii="Arial" w:cs="Arial" w:eastAsia="Arial" w:hAnsi="Arial"/>
          <w:sz w:val="16"/>
          <w:szCs w:val="16"/>
          <w:color w:val="auto"/>
        </w:rPr>
        <w:t>will become due under the agreement. Roche's termination rights under the license and collaboration agreement includes the right to terminate the agreement at any time after November 22, 2013 on a product-by-product and country-by-country basis upon three months' notice before the launch of the applicable product or upon nine months' notice thereafter; and the right to terminate the agreement in specified circumstances following a change of control of us. The license and collaboration agreement provides that we or Roche may terminate the agreement in the event of an uncured breach by the other party of a material provision of the agreement, or in the event of the other party's bankruptcy or insolvency. Upon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termination of the collaboration agreement by Roche for convenience or termination by us as a result of Roche's breach, bankruptcy, change of control or patent challenge, we have the right to assume the development and commercialization of product candidates arising from the license and collaboration agreement. In that event, we may become obligated to pay royalties to Roche on sales of any such product.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 Foundation</w:t>
      </w:r>
    </w:p>
    <w:p>
      <w:pPr>
        <w:spacing w:after="0" w:line="225"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June 2006, we entered into a sponsored research agreement with the SMA Foundation under which we and the SMA Foundation have</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collaborated in the research and preclinical development of small molecule therapeutics for spinal muscular atrophy. As discussed above, we are also collaborating with the SMA Foundation and Roche to further develop these compounds. Pursuant to the sponsored research agreement, as amended, the SMA Foundation provided us with $13.3 million in funding. The SMA Foundation is not obligated to provide any further funding under this agreement.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Continuing financial obligations. </w:t>
      </w:r>
      <w:r>
        <w:rPr>
          <w:rFonts w:ascii="Arial" w:cs="Arial" w:eastAsia="Arial" w:hAnsi="Arial"/>
          <w:sz w:val="16"/>
          <w:szCs w:val="16"/>
          <w:color w:val="auto"/>
        </w:rPr>
        <w:t>We may become obligated to pay the SMA Foundation single-digit royalties on worldwide net product sales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collaboration product that we successfully develop and subsequently commercialize or, if we outlicense rights to a collaboration product, a specified percentage of certain payments we receive from our licensee. As discussed above, we have outlicensed rights to Roche pursuant to a license and collaboration agreement. We are not obligated to make such payments unless and until annual sales of a collaboration product exceed a designated threshold. Our obligation to make such payments would end upon our payment to the SMA Foundation of a specified amount, which we refer to as the repayment amount.</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Reversion rights. </w:t>
      </w:r>
      <w:r>
        <w:rPr>
          <w:rFonts w:ascii="Arial" w:cs="Arial" w:eastAsia="Arial" w:hAnsi="Arial"/>
          <w:sz w:val="16"/>
          <w:szCs w:val="16"/>
          <w:color w:val="auto"/>
        </w:rPr>
        <w:t>In specified circumstances, including those involving our decision to discontinue development or commercialization of a collaboration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our uncured failure to meet agreed timelines or those that might arise following our change of control, we may be obligated to grant the SMA Foundation exclusive or non-exclusive sublicensable rights under our intellectual property, in certain collaboration products, among other rights, to assume the development and commercialization of such collaboration products and to provide the SMA Foundation with other transitional assistance, which we refer to as a reversion. In some such cases, we may be entitled to receive licensing fee payments from the SMA Foundation and single-digit royalties on sales of the applicable collaboration product, which amounts we collectively refer to as reversion payments. In other cases, the SMA Foundation is not required to make any payments to us in connection with the licenses it receives from us.</w:t>
      </w:r>
    </w:p>
    <w:p>
      <w:pPr>
        <w:spacing w:after="0" w:line="17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Unless terminated earlier, the sponsored research agreement will continue until the earliest of the SMA Foundation's receipt of the 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or, if there was a reversion, either our receipt of all reversion payments that the SMA Foundation may be obligated to make to us or, if the SMA Foundation is not obligated to make reversion payments, the expiration of the last-to-expire patent we licensed to the SMA Foundation in connection with such reversion. The sponsored research agreement provides that either party may terminate the agreement in the event of an uncured material breach by the other party or in the event of the other party's bankruptcy or insolvency.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Wellcome Trust (cancer stem cell and antibacterial programs)</w:t>
      </w:r>
    </w:p>
    <w:p>
      <w:pPr>
        <w:spacing w:after="0" w:line="225"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We have two separate funding agreements with Wellcome Trust. The materials terms of these funding agreements are similar in substance, except as described below.</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One agreement, entered into in May 2010, relates to the research and development of small molecule compounds that selectively decrease the production of BMI1 expression in tumor stem cells, which we refer to as our cancer stem cell program. Pursuant to this agreement, Wellcome Trust awarded us a $5.4 million grant, of which approximately $0.9 million was paid in connection 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execution of the agreement and the balance of which was paid based on our achievement of specified milestones.</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other agreement, entered into in December 2011, relates to the research and development of small molecule compounds that target life-threatening infections caused by multidrug-resistant Gram-negative bacteria. Pursuant to this agreement, Wellcome Trust awarded us a $5.0 million grant, of which approximately $1.7 million was paid in connection with execution of the agreement. In connection with the achievement of a specified milestones, we received $1.6 million in 2013, $0.8 million in 2014 and $0.7 million in 2015. The balance of the grant is payable based on our achievement of an additional milestone.</w:t>
      </w:r>
    </w:p>
    <w:p>
      <w:pPr>
        <w:spacing w:after="0" w:line="16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Development and commercialization. </w:t>
      </w:r>
      <w:r>
        <w:rPr>
          <w:rFonts w:ascii="Arial" w:cs="Arial" w:eastAsia="Arial" w:hAnsi="Arial"/>
          <w:sz w:val="16"/>
          <w:szCs w:val="16"/>
          <w:color w:val="auto"/>
        </w:rPr>
        <w:t>We own all intellectual property that arises from the conduct of the research programs under these funding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which we refer to as program intellectual property, and are responsible for developing and commercializing the program intellectual property, including PTC596 (for our cancer stem cell program), and other compounds. However, we will require Wellcome Trust's written consent prior to any such development or commercialization. If Wellcome Trust withholds such consent and we and Wellcome Trust are not able to resolve Wellcome Trust's concerns, the parties have agreed to follow a specified dispute resolution procedure that gives neither party final decision-making authority.</w:t>
      </w:r>
    </w:p>
    <w:p>
      <w:pPr>
        <w:spacing w:after="0" w:line="170"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i w:val="1"/>
          <w:iCs w:val="1"/>
          <w:color w:val="auto"/>
        </w:rPr>
        <w:t xml:space="preserve">Reversion rights. </w:t>
      </w:r>
      <w:r>
        <w:rPr>
          <w:rFonts w:ascii="Arial" w:cs="Arial" w:eastAsia="Arial" w:hAnsi="Arial"/>
          <w:sz w:val="18"/>
          <w:szCs w:val="18"/>
          <w:color w:val="auto"/>
        </w:rPr>
        <w:t>Under both funding agreements, if we fail to take reasonable steps to develop or commercialize program intellectual property during</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timeframes, we may be obligated to grant exclusive rights to Wellcome Trust or its nominee under the program intellectual property, along with non-exclusive rights under our background intellectual property, so that Wellcome Trust or its nominee can assume such development and commercialization. If we grant such a license, we would be entitled to a share of any consideration received by Wellcome Trust in connection with any subsequent development or commercialization of program intellectual property on a for-profit basis, which share would be proportionate to our contribution to the development and commercialization.</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Continuing financial obligations—cancer stem cell program. </w:t>
      </w:r>
      <w:r>
        <w:rPr>
          <w:rFonts w:ascii="Arial" w:cs="Arial" w:eastAsia="Arial" w:hAnsi="Arial"/>
          <w:sz w:val="18"/>
          <w:szCs w:val="18"/>
          <w:color w:val="auto"/>
        </w:rPr>
        <w:t>To the extent that we develop and commercialize program intellectual property on a for-profit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ourselves, we may become obligated to pay to Wellcome Trust development and regulatory milestone payments of up to an aggregate of $35.6 million and single-digit royalties on sales of any research program product. We expect that a milestone payment of $0.8 million will be made by us to Wellcome Trust under this agreement during the second quarter of 2016.</w:t>
      </w:r>
    </w:p>
    <w:p>
      <w:pPr>
        <w:spacing w:after="0" w:line="197"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Continuing financial obligations—antibacterial program. </w:t>
      </w:r>
      <w:r>
        <w:rPr>
          <w:rFonts w:ascii="Arial" w:cs="Arial" w:eastAsia="Arial" w:hAnsi="Arial"/>
          <w:sz w:val="18"/>
          <w:szCs w:val="18"/>
          <w:color w:val="auto"/>
        </w:rPr>
        <w:t>To the extent that we develop and commercialize program intellectual property on a for- profit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ourselves, we may become obligated to pay to Wellcome Trust development and regulatory milestone payments of up to an aggregate of $33.3 million and single-digit royalties on sales of any research program product.</w:t>
      </w:r>
    </w:p>
    <w:p>
      <w:pPr>
        <w:spacing w:after="0" w:line="194"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i w:val="1"/>
          <w:iCs w:val="1"/>
          <w:color w:val="auto"/>
        </w:rPr>
        <w:t xml:space="preserve">Additional continuing financial obligations—cancer stem cell and antibacterial programs. </w:t>
      </w:r>
      <w:r>
        <w:rPr>
          <w:rFonts w:ascii="Arial" w:cs="Arial" w:eastAsia="Arial" w:hAnsi="Arial"/>
          <w:sz w:val="18"/>
          <w:szCs w:val="18"/>
          <w:color w:val="auto"/>
        </w:rPr>
        <w:t>Our obligation to pay the royalties describe above would</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on a country-by-country basis until the longer of the expiration of the last patent in the program intellectual property in such country covering the research program product and the expiration of market exclusivity of such product in such country. To the extent that we develop and commercialize program intellectual property on a for-profit basis through outlicensing, we will be obligated to pay to Wellcome Trust a specified share of any consideration we receive from our licensee. We would incur no payment obligations to Wellcome Trust to the extent that we elect to develop and commercialize program intellectual property on a non-profit basis.</w:t>
      </w:r>
    </w:p>
    <w:p>
      <w:pPr>
        <w:spacing w:after="0" w:line="19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Unless terminated earlier, each funding agreement will continue until we have received the full amount of the grant, the research program has</w:t>
      </w:r>
      <w:r>
        <w:rPr>
          <w:rFonts w:ascii="Arial" w:cs="Arial" w:eastAsia="Arial" w:hAnsi="Arial"/>
          <w:sz w:val="18"/>
          <w:szCs w:val="18"/>
          <w:i w:val="1"/>
          <w:iCs w:val="1"/>
          <w:color w:val="auto"/>
        </w:rPr>
        <w:t xml:space="preserve"> </w:t>
      </w:r>
      <w:r>
        <w:rPr>
          <w:rFonts w:ascii="Arial" w:cs="Arial" w:eastAsia="Arial" w:hAnsi="Arial"/>
          <w:sz w:val="18"/>
          <w:szCs w:val="18"/>
          <w:color w:val="auto"/>
        </w:rPr>
        <w:t>ended, the last-to-expire of the patents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program intellectual property has expired, any agreement entered into for the exploitation of the program intellectual property or our background intellectual property has expired, and there are no remaining payment obligations relating to the exploitation of the program intellectual property or our background intellectual property. Each funding agreement provides that either party may terminate the agreement in the event of an uncured material breach by the other party or in the event of the other party's bankruptcy or insolvency and that Wellcome Trust may terminate the agreement under specified circumstances, including, among others, in specified circumstances following a change in control of us or if Wellcome Trust believes that an uncorrected serious failure exists in the progress, management or conduct of the research program or that an act or omission by us is incompatible with or has an adverse effect on Wellcome Trust's charitable objectives or reputation.</w:t>
      </w:r>
    </w:p>
    <w:p>
      <w:pPr>
        <w:spacing w:after="0" w:line="20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Wellcome Trust terminates either or both funding agreements in specified circumstances, including as a result of our material breach, bankruptcy or insolvency, or following our change of control, we may be obligated to assign to Wellcome Trust ownership of the applicable program intellectual property, grant to Wellcome Trust royalty-free non-exclusive rights under the applicable background intellectual property for the continuation of the research program (if applicable) and the development and commercialization of the applicable program intellectual property, and provide Wellcome Trust with other specified transitional assistance.</w:t>
      </w:r>
    </w:p>
    <w:p>
      <w:pPr>
        <w:spacing w:after="0" w:line="197"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Certain specified rights and obligations of the parties will generally survive termination of the funding agreements, including Wellcome Trust's right to receive payments from us with respect to development and commercialization of program intellectual property on a for-profit basis.</w:t>
      </w:r>
    </w:p>
    <w:p>
      <w:pPr>
        <w:spacing w:after="0" w:line="139"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If a funding agreement terminates prior to the end of a research program, we are obligated to return all funding we received from Wellcome Trust that is unspent at the date of termination (after deduction of costs and non-cancellable commitments incurred prior to such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trade secrets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certain foreign patent applications related to our proprietary technology, inventions and improvements that are important to the development of our business, where patent protection is available. We also rely on trade secrets, know-how, continuing technological innovation and in-licensing opportunities to develop and maintain our proprietary position.</w:t>
      </w:r>
    </w:p>
    <w:p>
      <w:pPr>
        <w:spacing w:after="0" w:line="170"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February 11, 2016, our patent portfolio included a total of 94 U.S. patents and 75 U.S. patent applications, including original filings, continuations and divisional applications, as well as numerous foreign counterparts to many of these patents and patent applications. We own or exclusively in-license these patents and patent applications with claims directed to the composition of matter, pharmaceutical formulation and methods of use of many of our compounds, including ataluren, the active ingredient in the formulated product Translarna™.</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patent rights relating to Translarna™ (ataluren) owned by us consist of 24 issued U.S. patents relating to composition of matter, methods of use, formulation, dosing and methods of manufacture and multiple pending patent applications relating to composition of matter, methods of use, formulation, dosing and methods of manufacture. We do not license any material patent rights relating to ataluren to unaffiliated parties. The issued U.S. patents relating to composition of matter are currently scheduled to expire in 2024 and all U.S. patents that issue from U.S. patent applications arising from the composition of matter would also be scheduled to expire in 2024. An issued U.S.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patent relating to therapeutic method of use is currently scheduled to expire in 2027, including patent term adjustment. We have patent rights that are the subject of granted patents or pending counterpart patent applications in a number of other jurisdictions, including Canada, South America, Europe, Africa, Asia and Eurasia. We own five granted European patents relating to composition of matter, uses, dosing and methods of manufacture of ataluren, as well as multiple pending European patent applications relating to composition of matter, uses and formulations. The expiration dates of the granted and allowed European patents occur for composition of matter in 2024, for dosing regimens in 2026 and 2027, respectively, and for the manufacturing process in 2027. Except as indicated above, the anticipated expiration dates referred to above are without regard to potential patent term extension, patent term adjustment or other marketing exclusivities that may be available to us.</w:t>
      </w:r>
    </w:p>
    <w:p>
      <w:pPr>
        <w:spacing w:after="0" w:line="17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an earlier filed patent. The term of a U.S. patent that covers a drug, biological product or medical device approved pursuant to a pre-market approval, or PMA, may also be eligible for patent term extension when FDA approval is granted, provided statutory and regulatory requirements are met. The length of the patent term extension is related to the length of time the drug is under regulatory review while the patent is in force. The Drug Price Competition and Patent Term Restoration Act of 1984, or the Hatch-Waxman Act, permits a patent term extension of up to five years beyond the expiration date set for the patent. Patent extension based on Hatch-Waxman cannot extend the remaining term of a patent beyond a total of 14 years from the date of product approval, only one patent applicable to each regulatory review period may be granted an extension and only those claims reading on the approved drug may be extended.</w:t>
      </w:r>
    </w:p>
    <w:p>
      <w:pPr>
        <w:spacing w:after="0" w:line="17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Similar provisions are available in Europe and certain other foreign jurisdictions to extend the term of a patent that covers an approved drug. One means of patent term extension in Europe after EMA approval is based obtaining a Supplementary Protection Certificate (SPC). We have applied for SPCs in all applicable European countries in which we have a European patent and expect that all will be granted. The maximum patent term extension provided by an SPC is a total of 5 years from the date of patent term expiration. In the future, if and when our product candidates receive approval by the FDA or other non-European foreign regulatory authorities, we expect to apply for patent term extensions on issued patents covering those products, depending upon the length of the clinical trials for each drug and other factors.</w:t>
      </w:r>
    </w:p>
    <w:p>
      <w:pPr>
        <w:spacing w:after="0" w:line="19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are a party to a number of license agreements under which we license patents, patent applications and other intellectual property from third parties. We enter into these agreements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augment our proprietary intellectual property portfolio. The licensed intellectual property covers some of the compounds that we are researching and developing, some post-transcriptional control targets and some of the scientific processes that we use. These licenses impose various diligence and financial payment obligations on us. We expect to continue to enter into these types of license agreements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do not own or operate manufacturing facilities for the production of clinical or commercial quantities of Translarna or for the compounds that we are testing in our preclinical programs. We currently rely, and expect to continue to rely, on third parties for the manufacture of Translarna and any other product or product candidate that we may develop, other than small amounts of compounds that we synthesize ourselves for preclinical testing.</w:t>
      </w:r>
    </w:p>
    <w:p>
      <w:pPr>
        <w:spacing w:after="0" w:line="161" w:lineRule="exact"/>
        <w:rPr>
          <w:sz w:val="20"/>
          <w:szCs w:val="20"/>
          <w:color w:val="auto"/>
        </w:rPr>
      </w:pPr>
    </w:p>
    <w:p>
      <w:pPr>
        <w:ind w:right="360" w:firstLine="348"/>
        <w:spacing w:after="0" w:line="318" w:lineRule="auto"/>
        <w:rPr>
          <w:sz w:val="20"/>
          <w:szCs w:val="20"/>
          <w:color w:val="auto"/>
        </w:rPr>
      </w:pPr>
      <w:r>
        <w:rPr>
          <w:rFonts w:ascii="Arial" w:cs="Arial" w:eastAsia="Arial" w:hAnsi="Arial"/>
          <w:sz w:val="15"/>
          <w:szCs w:val="15"/>
          <w:color w:val="auto"/>
        </w:rPr>
        <w:t>We obtain our supply of the bulk drug substance for Translarna from two third-party manufacturers and the bulk drug substance for our cancer stem cell program through another third-party manufacturer. We engage a separate manufacturer to provide bulk drug product and expect to finalize our validation of another bulk drug manufacturer in 2016. We have a relationship with two manufacturers that are capable of providing fill and finish services for our finished commercial and clinical product, although we are still in the process of finalizing arrangements with one of these manufacturers with respect to commercial product services. During 2016, we anticipate engaging a third manufacturer to provide fill and finish services for both commercial and clinical product.</w:t>
      </w:r>
    </w:p>
    <w:p>
      <w:pPr>
        <w:spacing w:after="0" w:line="15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do not currently have any agreements with third-party manufacturers for the long-term commercial supply of Translarna or any of our product candidates. We expect to engage in discussions with certain third-party suppliers and manufacturers with respect to commercial supply agreements for Translarna bulk drug substance and product during 2016. We may be unable to conclude agreements for commercial or clinical supply with third-party manufacturers, or may be unable to do so on acceptable terms. We currently obtain our supplies of Translarna and our other product candidates from our third-party manufacturers pursuant to agreements that include specific supply timelines and volume expectations. If any of these manufacturers should become unavailable to us for any reason, we believe that there are a number of potential replacements, however we likely would experience delays in our ability to supply Translarna to patients or in advancing our clinical trials while we identify and qualify replacement suppliers.</w:t>
      </w:r>
    </w:p>
    <w:p>
      <w:pPr>
        <w:spacing w:after="0" w:line="172"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All of our drug candidates are organic compounds of low molecular weight, generally called small molecules. We have selected these compounds not only on the basis of their potential efficacy and safety, but also for their ease of synthesis and reasonable cost of their starting materials. Translarna is manufactured in reliable and reproducible synthetic processes. Our raw materials are not scarce and are readily available. We currently rely on a single source for the production of some raw materials and switching to an alternative source could, in some instances, take time and could lead to delays in manufacturing. No shortages or delays of raw materials were encountered in 2015, and none are currently expected in 2016. The chemistry is amenable to scale up and does not require unusual equipment in the manufacturing process. We expect to continue to develop drug candidates that can be produced cost-effectively at contract manufacturing facilities.</w:t>
      </w:r>
    </w:p>
    <w:p>
      <w:pPr>
        <w:spacing w:after="0" w:line="20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Manufacturers and suppliers of product candidates are subject to the FDA's current Good Manufacturing Practices, or cGMP, requirements, and other rules and regulations prescribed by foreign regulatory authorities. We depend on our third-party suppliers and manufacturers for continued compliance with cGMP requirements and applicable foreign standards.</w:t>
      </w:r>
    </w:p>
    <w:p>
      <w:pPr>
        <w:spacing w:after="0" w:line="19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have a contract with a pharmacy and hospital distributor in the European Union that distributes Translarna for clinical programs and limited commercial and EAP programs. In the first half of 2015, we engaged a third party logistics, or 3PL, provider in the European Union, which has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commenced distribution of Translarna for the majority of our commercial and EAP programs on our behalf.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research and development expenses in each of our last three fiscal years is provided in Item 7. "Management's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and marketing team</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To date all of our product revenue has been attributable to sales of Translarna for the treatment of nmDMD in territories outside of the United States. During 2015, we engaged key members of our commercial team in North America in anticipation of potential future commercial launch activities in Canada and the United States. In addition to multiple European countries, we have employees in Latin America, Japan and Canada. As of December 31, 2015, our international team was comprised of approximately 75 employees, including support personnel and members of our commercial team who work with physicians, patient advocacy groups and other stakeholders who are involved in the treatment of patients suffering from nmDMD.</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in select territories, we have engaged full time consultants, marketing partners and distribution partners to assist us with our international commercialization efforts. We continue to evaluate new territories to determine in which geographies we might, if approved, choose to commercialize Translarna ourselves and in which geographies we might choose to collaborate with third parties. We expect that our internal team and partnership network will continue to grow, as needed, to maximize access to patients.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During 2015, all of our product revenue was attributable to Translarna for the treatment of nmDMD. Translarna for the treatment of nmDMD was available on a commercial basis or via reimbursed early access programs in multiple territories outside of the United States. In some territories orders for Translarna are placed directly with PTC and in other territories we have engaged with third-party distributors. As a result, orders for Translarna are generally received from hospital and retail pharmacies and, in some cases, one of our third-party partner distributors. Our third-party distributors act as intermediaries between us and end-users and do not typically stock significant quantities of Translarna. The ultimate payor for Translarna is typically a government authority or institution or a third-party health insurer. The payment terms are generally 60 to 90 days after receipt of products.</w:t>
      </w:r>
    </w:p>
    <w:p>
      <w:pPr>
        <w:spacing w:after="0" w:line="174"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During 2015, over 10% of our net product sales were attributable to orders from one of our distributors. Financial information about our net product revenues and other revenues generated in the principal geographic regions in which we operate and our long-lived assets is set forth in our financial statements and in Note 14, "Geographic Information" to our consolidated financial statements included in this Annual Report on Form 10-K.</w:t>
      </w:r>
    </w:p>
    <w:p>
      <w:pPr>
        <w:spacing w:after="0" w:line="16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Translarna can generally only be returned if agreed upon in writing by us and the product is not opened nor in receipt by the final user, except in the case of quality issues associated with the product. Product is generally shipped when a specific patient is approved by the applicable government or insurer and an individual prescription has been written. The right of return is eliminated as a matter of course when the product is dispensed to patients. Since the initial product sale of Translarna in the third quarter of 2014, we have had no requests for product returns.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some countries, including Brazil, orders for named patient sales are for multiple months of therapy, which can lead to an unevenness in orders which could result in significant fluctuations in quarterly net product sales.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Access Considerations</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Translarna is currently available on a commercial basis in Austria, Czech Republic, Denmark, Hungary, Norway, and Slovakia. Commercial drug is also currently available in Germany, subject to the matters and timing discussed below. The commercial success of Translarna, and any other product candidates we may develop, depends largely on obtaining and maintaining reimbursement from governments and third-party insurers. We have received marketing authorization in the EEA for Translarna for the treatment of nmDMD in ambulatory patients aged five years and older, subject to annual EMA reassessment. However, each country in the EEA has its own pricing and reimbursement regulations and many countries in the EEA have other regulations related to the marketing and sale of pharmaceutical products in the applicable country. The pricing and reimbursement process varies from country to country and can take over 18 months from initiation to complete. As a result, our commercial launch in the EEA will be on a country-by-country basis and we generally will not be able to commence commercial sales of Translarna for the treatment of nmDMD pursuant to our marketing authorization in the EEA in any particular member state of the EEA until we conclude the applicable pricing and reimbursement negotiations and comply with any licensing, employment or related regulatory requirements in that country.</w:t>
      </w:r>
    </w:p>
    <w:p>
      <w:pPr>
        <w:spacing w:after="0" w:line="17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While we have submitted pricing and reimbursement dossiers with respect to Translarna for the treatment of nmDMD in key EEA countries, we have not received both pricing and reimbursement approval in these key countries on terms that are acceptable to us. In addition, the price that is approved by local governmental authorities pursuant to commercial pricing and reimbursement processes may be significantly lower than the price that can be charged for purchases of product in that country pursuant to a reimbursed early access program.</w:t>
      </w:r>
    </w:p>
    <w:p>
      <w:pPr>
        <w:spacing w:after="0" w:line="19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some instances, reimbursement may be subject to challenge, reduction or denial by the government and other payers. For example, we have been engaged in market access discussions with National Health Services (NHS) England and National Institute for Health and Care Excellence (NICE) since 2014. During the fourth quarter of 2014, NHS England determined to reconsider how it assesses certain new treatments and postponed certain pricing and reimbursement meetings, including meetings related to Translarna, and in July 2015 determined that final funding decisions on Translarna for nmDMD will be made after the conclusion of a specialized appraisal process by NICE. Recently we had constructive discussions with NHS England regarding a managed access agreement, pursuant to which Translarna could potentially be made available to qualified nmDMD patients for the period of time established under a final agreement. A managed access agreement is an accordance struck between the marketing authorization holder, NICE and NHS England (with the input of patient organizations and clinical experts) allowing for a treatment to be made available to patients for a limited period of time, and facilitating further gathering of evidence on a treatments' meaningful benefit. However, our interim discussions with NHS England regarding the managed access agreement remain subject to a final positive outcome from the specialized appraisal process by NICE. A decision from NICE is expected in the coming months. In addition, the potential provision of access to Translarna in England is subject to actual reimbursement decisions by NHS England.</w:t>
      </w:r>
    </w:p>
    <w:p>
      <w:pPr>
        <w:spacing w:after="0" w:line="181"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In some countries, such as France and Germany, EAP and commercial sales of a product can begin while pricing and reimbursement rates are under discussion with the applicable government health programs. In the event that the negotiated price of the product is lower than the amount reimbursed for sales made prior to the conclusion of price negotiations, the company may become obligated to repay such excess amount to the applicable government health program. For example, we have had multiple discussions with the German Federal Association of the Statutory Health Insurances,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GKV-Spitzenverband, over the course of the last several months to come to a pricing and reimbursement agreement in Germany. Recently, these discussions transitioned into an arbitration phase, where an arbitration board was convened. This process did not lead to an acceptable agreement for us on market access terms. As a result, we expect to delist Translarna from the German pharmacy ordering system. Under these circumstances, patients and healthcare professionals in Germany may be able to access Translarna through a reimbursed importation pathway possible under German law. We believe this approach will allow us to minimize any access issues for German patients while maintaining a sustainable price. However, we are required to reimburse payors in Germany the difference between the commercial price of Translarna in Germany and the unsustainable price established by the German arbitration board for sales made in Germany during the period of December 2015 until such time that we delist Translarna from the German pharmacy ordering system.</w:t>
      </w:r>
    </w:p>
    <w:p>
      <w:pPr>
        <w:spacing w:after="0" w:line="172"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record revenue net of estimated third party discounts and rebates. Allowances are recorded as a reduction of revenue at the time revenues from product sales are recognized. Allowances for government and other third-party rebates and discounts are established at the time of delivery. These allowances are adjusted to reflect known changes in factors and may impact such allowances in the quarter those changes are known.</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ability to successfully obtain and maintain acceptable pricing and reimbursement terms from governments and third-party insurers on a timely basis in the countries in which we have or may obtain regulatory approval, including the EEA and other territories, has and is expected to impact significantly our net product sales quarter over quarter. For important information regarding certain pricing and reimbursement matters see "Item 1. Business—Pharmaceutical Pricing and Reimbursement" and risks to our business arising as a result matters relating to pharmaceutical pricing and reimbursement see "Item 1A. Risk Factors," including the risk factor titled "Our initial commercial launch of Translarna has begun in, and is expected to continue to take place in, countries that tend to impose strict price controls, which may adversely affect our revenues, if any. Failure to obtain and maintain acceptable pricing and reimbursement terms for Translarna in the European Economic Area and other jurisdictions would prevent us from marketing our products in such regions."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Operations</w:t>
      </w:r>
      <w:r>
        <w:rPr>
          <w:rFonts w:ascii="Arial" w:cs="Arial" w:eastAsia="Arial" w:hAnsi="Arial"/>
          <w:sz w:val="18"/>
          <w:szCs w:val="18"/>
          <w:color w:val="auto"/>
        </w:rPr>
        <w:t>.</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In 2014 we established our international headquarters in Dublin, Ireland. For additional information with respect to risks attendant to our current foreign operations, see "Risk Factors—All of our sales of Translarna for the treatment of nmDMD currently occur in territories outside of the United States, which subjects us to additional business risks that could adversely affect our revenue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commercial pharmaceutical and biotechnology enterprises, academic institutions, government agencies and private and public research institutions. Any product candidates that we successfully develop and commercialize will compete with existing therapies and new therapies that may become available in the future.</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as well as in acquiring technologies complementary to, or necessary for, our programs. Smaller or early stage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companies may also prove to be significant competitors, particularly through collaborative arrangements with large and established companies.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side effects, are more convenient or are less expensive than any products that we may develop. In addition, our ability to compete may be affected because in some cases insurers or other third-party payors seek to encourage the use of generic products. This may have the effect of making branded products less attractive, from a cost perspective, to buyers.</w:t>
      </w:r>
    </w:p>
    <w:p>
      <w:pPr>
        <w:spacing w:after="0" w:line="19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key competitive factors affecting the success of Translarna and our other product candidates are likely to be its efficacy, safety, convenience, price and the availability of coverage and reimbursement from government and other third-party payors.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competition for Translarna and our other product candidates includes the following:</w:t>
      </w:r>
    </w:p>
    <w:p>
      <w:pPr>
        <w:spacing w:after="0" w:line="239" w:lineRule="exact"/>
        <w:rPr>
          <w:sz w:val="20"/>
          <w:szCs w:val="20"/>
          <w:color w:val="auto"/>
        </w:rPr>
      </w:pPr>
    </w:p>
    <w:p>
      <w:pPr>
        <w:ind w:left="1080" w:hanging="532"/>
        <w:spacing w:after="0" w:line="25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Translarna for nmDMD. </w:t>
      </w:r>
      <w:r>
        <w:rPr>
          <w:rFonts w:ascii="Arial" w:cs="Arial" w:eastAsia="Arial" w:hAnsi="Arial"/>
          <w:sz w:val="18"/>
          <w:szCs w:val="18"/>
          <w:color w:val="auto"/>
        </w:rPr>
        <w:t>There is currently no marketed therapy, other than Translarna in the EEA, which has received approval for the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underlying cause of Duchenne muscular dystrophy. Other currently available treatments for Duchenne muscular dystrophy are only palliative. However, other biopharmaceutical companies are developing treatments for Duchenne muscular dystrophy, including palliative treatments (Marathon Pharmaceuticals and Santhera Pharmaceuticals) and treatments addressing mutations other than nonsense mutations in the DMD gene (BioMarin Pharmaceuticals and Sarepta Therapeutics). Corticosteroids, such as prednisone and deflazacort are often prescribed to treat some of the symptoms of the disease.</w:t>
      </w:r>
    </w:p>
    <w:p>
      <w:pPr>
        <w:spacing w:after="0" w:line="225" w:lineRule="exact"/>
        <w:rPr>
          <w:rFonts w:ascii="Arial" w:cs="Arial" w:eastAsia="Arial" w:hAnsi="Arial"/>
          <w:sz w:val="18"/>
          <w:szCs w:val="18"/>
          <w:color w:val="auto"/>
        </w:rPr>
      </w:pPr>
    </w:p>
    <w:p>
      <w:pPr>
        <w:ind w:left="1080" w:right="60" w:hanging="532"/>
        <w:spacing w:after="0" w:line="290"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Translarna for nmCF. </w:t>
      </w:r>
      <w:r>
        <w:rPr>
          <w:rFonts w:ascii="Arial" w:cs="Arial" w:eastAsia="Arial" w:hAnsi="Arial"/>
          <w:sz w:val="16"/>
          <w:szCs w:val="16"/>
          <w:color w:val="auto"/>
        </w:rPr>
        <w:t>There are currently no marketed therapeutics approved to treat the underlying cause of nmCF and we believe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Translarna is the only product candidate in clinical trials that is designed to treat the underlying cause of nmCF by restoring CFTR activity. Vertex Pharmaceuticals' drugs Kalydeco and Orkambi are approved by the FDA and in other territories as a treatment for cystic fibrosis caused by other mutations in the CFTR gene, not nonsense mutation. Vertex and other companies are developing other product candidates for the treatment of cystic fibrosis for defined mutations or for all patients. There are a number of large pharmaceutical and biotechnology companies that currently market and sell products to manage the symptoms and side effects of cystic fibrosis. These products include Novartis Pharmaceuticals Corporation's TOBI, Gilead Sciences, Inc.'s Cayston, and Genentech, Inc.'s Pulmozyme.</w:t>
      </w:r>
    </w:p>
    <w:p>
      <w:pPr>
        <w:spacing w:after="0" w:line="185" w:lineRule="exact"/>
        <w:rPr>
          <w:rFonts w:ascii="Arial" w:cs="Arial" w:eastAsia="Arial" w:hAnsi="Arial"/>
          <w:sz w:val="16"/>
          <w:szCs w:val="16"/>
          <w:color w:val="auto"/>
        </w:rPr>
      </w:pPr>
    </w:p>
    <w:p>
      <w:pPr>
        <w:ind w:left="1080" w:right="40" w:hanging="532"/>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Translarna for Other Indications. </w:t>
      </w:r>
      <w:r>
        <w:rPr>
          <w:rFonts w:ascii="Arial" w:cs="Arial" w:eastAsia="Arial" w:hAnsi="Arial"/>
          <w:sz w:val="18"/>
          <w:szCs w:val="18"/>
          <w:color w:val="auto"/>
        </w:rPr>
        <w:t>Aldurazyme, which is manufactured by BioMarin Pharmaceuticals and sold by Genzyme Corporation, is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enzyme replacement therapy for the treatment of mucopolysaccharidosis I. Furthermore, Diacomit is marketed in the European Union by Laboratories Biocodex for the treatment of Dravet's syndrome. Other companies are also pursuing product candidates for the treatment of Dravet's syndrome, including GW Pharmaceuticals and Insys Therapeutics. Aniridia therapeutic interventions, such as artificial iris implantation, are being developed by HumanOptics AG.</w:t>
      </w:r>
    </w:p>
    <w:p>
      <w:pPr>
        <w:spacing w:after="0" w:line="210" w:lineRule="exact"/>
        <w:rPr>
          <w:rFonts w:ascii="Arial" w:cs="Arial" w:eastAsia="Arial" w:hAnsi="Arial"/>
          <w:sz w:val="18"/>
          <w:szCs w:val="18"/>
          <w:color w:val="auto"/>
        </w:rPr>
      </w:pPr>
    </w:p>
    <w:p>
      <w:pPr>
        <w:ind w:left="1080" w:right="240" w:hanging="532"/>
        <w:spacing w:after="0" w:line="25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Spinal Muscular Atrophy Collaboration. </w:t>
      </w:r>
      <w:r>
        <w:rPr>
          <w:rFonts w:ascii="Arial" w:cs="Arial" w:eastAsia="Arial" w:hAnsi="Arial"/>
          <w:sz w:val="18"/>
          <w:szCs w:val="18"/>
          <w:color w:val="auto"/>
        </w:rPr>
        <w:t>Our SMA collaboration with Roche and the SMA Foundation also faces competition. For example,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Ionis Pharmaceuticals, Inc. is evaluating its antisense drug as a treatment for SMA in two Phase 3 studies that were initiated in SMA patients in 2014. Other companies are also pursuing product candidates for the treatment of SMA, including Novartis Pharmaceuticals Corporation and Avexis.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quality control, approval, manufacturing, labeling, post-approval monitoring and reporting, recordkeeping, packaging,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 See "Item 1A. Risk Factors—Risks Related to Regulatory Approval of our Product and our Product Candidates" for important information regarding some of the risks to our business arising as a result of government regulation.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the United States, the FDA regulates drugs under the Federal Food, Drug, and Cosmetic Act, or the FDCA,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United States, the information that must be submitted to the FDA in order to obtain approval to market a new drug varies depending upon whether the drug is a new product whose safety and efficacy have not previously been demonstrated in humans or a drug whose active ingredients and certain other properties are the same as those of a previously approved drug. A New Drug Application, or NDA, is the vehicle through which the FDA approves a new pharmaceutical product for sale and marketing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new drug approval, or NDA, process</w:t>
      </w:r>
    </w:p>
    <w:p>
      <w:pPr>
        <w:spacing w:after="0" w:line="225"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In the United States, the FDA regulates drugs under the Federal Food, Drug, and Cosmetic Act, or the FDCA, and implementing regulations. Failures to comply with the applicable FDA requirements at any time during the product development process or approval process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United States, the information that must be submitted to the FDA in order to obtain approval to market a new drug varies depending upon whether the drug is a new product whose safety and efficacy have not previously been demonstrated in humans or a drug whose active ingredients and certain other properties are the same as those of a previously approved drug. A New Drug Application, or NDA, is the vehicle through which the FDA approves a new pharmaceutical product for sale and marketing in the United States.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market a new drug in the United States, a sponsor generally must undertake the following:</w:t>
      </w:r>
    </w:p>
    <w:p>
      <w:pPr>
        <w:spacing w:after="0" w:line="239" w:lineRule="exact"/>
        <w:rPr>
          <w:sz w:val="20"/>
          <w:szCs w:val="20"/>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under the FDA's good laboratory practices regulations and other applicable laws or regulations;</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for clinical testing, which must become effective before clinical trials may begin;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prior to initiation and subject to continuing review;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adequate and well-controlled clinical trials in accordance with Good Clinical Practices, or GCP, and the ICH E6 GCP guidelines, to establish the safety and efficacy of the product for each of its proposed indications;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submission and FDA acceptance of a New Drug Application, or; satisfactory completion of an FDA Advisory Committee meeting, if applicable;</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practices, or cGMP, which require that the facilities, methods and controls are adequate to preserve the product's identity, strength, quality and purity;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Preclinical tests include laboratory evaluations of product chemistry, stability, toxicity and formulation, as well as animal studies. In order to begin clinical testing, a sponsor must submit an investigational new drug application, or IND, to FDA, which includes, among other things, the results of the preclinical tests, manufacturing information, analytical data, proposed clinical protocols, and any available clinical data or literature on the drug product. Some preclinical testing may continue after the IND is submitted. The IND must become effective before human clinical trials may begin. An IND will automatically become effective 30 days after receipt by the FDA, unless before that time the FDA raises concerns or questions about issues such as the conduct of the trials as outlined in the IND. In that case, the IND sponsor and the FDA must resolve any outstanding FDA concerns or questions before clinical trials can proceed. In other words, submission of an IND may not result in the FDA allowing clinical trials to commence.</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Clinical trials are conducted in accordance with protocols detailing, among other things, the objectives of the study, the parameters to be used in monitoring safety and the effectiveness criteria to be evaluated. A protocol for each clinical trial and subsequent protocol amendments must be submitted to the FDA as part of the IND. All research subjects or their legally authorized representatives must provide their informed consent in writing prior to their participation in a clinical trial. Each clinical trial must be reviewed and approved by an IRB and is subject to ongoing IRB monitoring. The IRB must approve the protocol, protocol amendments, and the informed consent form. Information about certain clinical trials must be submitted within specific timeframes to the National Institutes of Health, or NIH, to be publicly posted on the Clinicaltrials.gov website.</w:t>
      </w:r>
    </w:p>
    <w:p>
      <w:pPr>
        <w:spacing w:after="0" w:line="17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Phase 1 clinical trials may be conducted in patients or healthy volunteers to evaluate the product's safety, dosage tolerance and pharmacokinetics and, if possible, seek to gain an early indication of its effectiveness. Phase 2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Phase 2 clinical trials are sometimes denoted by companies as Phase 2a or Phase 2b clinical trials. Phase 2a clinical trials typically represent the first human clinical trial of a drug candidate in a smaller patient population and are designed to provide earlier information on drug safety and efficacy. Phase 2b clinical trials typically involve larger numbers of patients or longer durations of therapy and may involve comparison with placebo, standard treatments or other active comparators.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Phase 3 clinical trials usually further evaluate clinical efficacy and test further for safety in an expanded patient population. Phase 3 clinical trials usually involve comparison with placebo, standard treatments or other active comparators. These trials are intended to establish the overall risk- benefit profile of the product and provide an adequate basis for physician labeling. Phase 3 clinical trials are usually larger, more time consuming, more complex and more costly than Phase 1 and Phase 2 clinical trials.</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Clinical trials may not be completed successfully within any specified period, if at all. The FDA, the sponsor, or a data safety monitoring board may suspend or terminate clinical trials at any time on various grounds, including a finding that the subjects are or would be exposed to an unreasonable and significant risk of illness or injury. Similarly, an IRB can suspend or terminate approval of a clinical trial if the trial is not being conducted in accordance with the IRB's requirements or if the research has been associated with unexpected serious harm to patients. The FDA typically requires that an NDA include data from two adequate and well-controlled clinical trials, but approval may be based upon a single adequate and well-controlled clinical trial plus confirmatory evidence. In some cases, the FDA may condition approval of an NDA on the applicant's agreement to conduct additional clinical trials to further assess the drug's safety and effectiveness after NDA approval. Such post-approval trials are typically referred to as Phase 4 studies.</w:t>
      </w:r>
    </w:p>
    <w:p>
      <w:pPr>
        <w:spacing w:after="0" w:line="172"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FDA's accelerated approval process allows for potentially faster development and approval of certain drugs intended to treat serious or life- threatening illnesses that provide meaningful therapeutic benefit to patients over existing treatments. Under the accelerated approval process, the adequate and well-controlled clinical trials conducted with the drug establish that the drug has an effect on a "surrogate" endpoint that is reasonably likely to predict clinical benefit or on the basis of an effect on a clinical benefit other than survival or irreversible morbidity. Drugs approved through the accelerated approval process are subject to certain post-approval requirements, including that the applicant complete Phase 4 clinical trials to demonstrate the drug's clinical benefit. If the trials fail to verify the clinical benefit of the drug, the FDA may withdraw approval of the application through a streamlined process.</w:t>
      </w:r>
    </w:p>
    <w:p>
      <w:pPr>
        <w:spacing w:after="0" w:line="174"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The FDA has explained in guidance that some drugs are dependent upon the use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test, such as when the use of the drug is limited to a specific patient subpopulation that can be identified by using the test. The guidance refers to the diagnostic tests used with these types of drugs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devices. According to the guidance,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devices will require the submission and approval of a premarket approval application before they are marketed. Some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devices, however, could potentially be cleared through a 510(k) premarket notification submission. The guidance states that the FDA generally will not approve a drug that is dependent upon the use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 if no such device is FDA- approved or -cleared for the relevant indication. According to the guidance, however, the FDA may approve such a drug without an approved or cleared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 when the drug is intended to treat a serious or life- threatening condition for which no satisfactory alternative treatment exists and the FDA determines that the benefits from the use of drug with an unapproved or uncleared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 are so pronounced as to outweigh the risks from the lack of an approved or cleared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 The FDA guidance documents represent the FDA's current thinking on a topic but do not establish legally enforceable responsibilities.</w:t>
      </w:r>
    </w:p>
    <w:p>
      <w:pPr>
        <w:spacing w:after="0" w:line="17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of the clinical trials, together with other detailed information, including proposed labeling and information on the chemistry, manufacture and composition of the product, are submitted to the FDA in the form of an NDA requesting approval to market the product for one or more indications. In most cases, the NDA must be accompanied by a substantial user fee, though a waiver of such fees may be obtained under certain limited circumstances. The FDA has 60 days from its receipt of an NDA to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determine whether the application will be accepted for filing based on the FDA's threshold determination that it is sufficiently complete to permit a substantive review.</w:t>
      </w:r>
    </w:p>
    <w:p>
      <w:pPr>
        <w:spacing w:after="0" w:line="186"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If the FDA determines that the NDA is incomplete, the FDA may refuse to file the application. If the FDA refuses to file an NDA, the applicant may request an informal conference with the FDA about whether the application should be filed. After the conference, the applicant may request that the application be filed over protest. In addition, an applicant that receives an RTF can, in some circumstances, appeal the decision using the FDA's dispute resolution procedures. After the NDA submission is accepted for filing, the FDA reviews the NDA to determine, among other things, whether a product is safe and effective for its intended use and whether the product is being manufactured in accordance with cGMP to assure and preserve the product's identity, strength, quality and purity. Under the goals and policies agreed to by the FDA under the Prescription Drug User Fee Act, or PDUFA, the FDA has 12 months after submission of an NDA in which to complete its initial review of a standard NDA and respond to the applicant, and eight months for a priority review NDA. The FDA does not always meet its PDUFA goal dates for review of NDAs. The review process and the PDUFA goal date may be extended by additional three month review periods whenever the FDA requests or the NDA sponsor otherwise provides additional information or clarification regarding information already provided in the submission at any time during the review cycle.</w:t>
      </w:r>
    </w:p>
    <w:p>
      <w:pPr>
        <w:spacing w:after="0" w:line="17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Under the Pediatric Research Equity Act of 2003,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deferrals for submission of data or full or partial waivers. Unless otherwise required by regulation, PREA does not apply to any drug for an indication for which orphan designation has been granted. As the FDA has not issued regulations applying PREA to orphan-designated indications, submission of a pediatric assessment is not presently required for an application to market a product for an orphan-designated indication. However, PREA compliance may be required if approval is sought for other indications for which the drug has not received orphan designation.</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FDA will typically inspect one or more clinical sites to assure compliance with GCP before approving an NDA. The FDA also will inspect the facility or the facilities at which the product is manufactured before the NDA is approved. The FDA will not approve the product unless cGMP compliance is satisfactory. The FDA may also take into account results of inspections performed by certain counterpart foreign regulatory agencies in assessing compliance with GCP or GMP. The FDA has entered into international agreements with foreign agencies, including the EMA, in order to facilitate this type of information sharing. If the FDA determines the application, manufacturing process or manufacturing facilities are not acceptable, it will outline the deficiencies in the submission and often will request additional testing or information.</w:t>
      </w:r>
    </w:p>
    <w:p>
      <w:pPr>
        <w:spacing w:after="0" w:line="17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Notwithstanding the submission of any requested additional information, the FDA ultimately may decide that the application does not satisfy the regulatory criteria for approval.</w:t>
      </w:r>
    </w:p>
    <w:p>
      <w:pPr>
        <w:spacing w:after="0" w:line="186"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testing and approval process requires substantial time, effort and financial resources, and each may take years to complete. Data obtained from clinical trials are not always conclusive and may be susceptible to varying interpretations, which could delay, limit or prevent regulatory approval. The FDA may not grant approval on a timely basis, or at all.</w:t>
      </w:r>
    </w:p>
    <w:p>
      <w:pPr>
        <w:spacing w:after="0" w:line="19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may encounter difficulties or unanticipated costs in our efforts to secure necessary FDA approvals, which could delay or preclude us from marketing our products. The FDA may refer applications for novel drug products or drug products which present difficult questions of safety or efficacy to an advisory committee for review, evaluation and recommendation as to whether the application should be approved and under what conditions. The advisory committee process may cause delays in the approval timeline. The FDA is not bound by the recommendation of an advisory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committee, but it considers such recommendations carefully, particularly any negative recommendations or limitations, when making drug approval decisions.</w:t>
      </w:r>
    </w:p>
    <w:p>
      <w:pPr>
        <w:spacing w:after="0" w:line="248"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FDA may limit the indications for use, approve narrow labeling relegating a drug to second- line or later-line use, add limitations of use to the labeling or place other conditions on approvals, which could restrict the marketing of the products. Further, FDA may require that certain contraindications, warnings or precautions be included in the product labeling. After approval, some types of changes to the approved product, such as adding new indications, which may itself require further clinical testing, or changing the manufacturing process are subject to further FDA review and approval.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After FDA approval of a product is obtained, we are required to comply with a number of post-approval requirements, including, among other things, establishment registration and product listing, record-keeping requirements, reporting certain adverse reactions and production problems to the FDA, providing updated safety and efficacy information, and complying with requirements concerning advertising and promotional labeling. As a condition of approval of an NDA, the FDA may require the applicant to conduct additional clinical trials or other post market testing and surveillance to further monitor and assess the drug's safety and efficacy.</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FDA also has the authority to require a drug-specific risk evaluation and mitigation strategy, or REMS, to ensure the safe use of the drug. In determining whether a REMS is necessary, the FDA must consider the size of the population likely to use the drug, the seriousness of the disease or condition to be treated, the expected benefit of the drug, the duration of treatment, the seriousness of known or potential adverse events, and whether the drug is a new molecular entity. A REMS may be required to include various elements, such as a medication guide or patient package insert, a communication plan to educate health care providers of the drug's risks, limitations on who may prescribe or dispense the drug, or other measures that the FDA deems necessary to assure the safe use of the drug. In addition, the REMS must include a timetable to assess the strategy at 18 months, three years, and seven years after the strategy's approval. The FDA may also impose a REMS requirement on an approved drug if the FDA determines, based on new safety information, that a REMS is necessary to ensure that the drug's benefits outweigh its risks.</w:t>
      </w:r>
    </w:p>
    <w:p>
      <w:pPr>
        <w:spacing w:after="0" w:line="172"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Although physicians may prescribe a drug for off-label uses, manufacturers may only promote for the approved indications and in accordance with the approved labeling. The FDA and other agencies actively enforce the laws and regulations prohibiting the promotion of off-label uses. Failure to comply with the laws and regulations governing advertising and promotion can have negative consequences, including adverse publicity, warning and untitled letters from the FDA, requests for corrective advertising or communications with doctors, and civil penalties or criminal prosecution.</w:t>
      </w:r>
    </w:p>
    <w:p>
      <w:pPr>
        <w:spacing w:after="0" w:line="197"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Similarly, the Drug Supply Chain Security Act, or DSCSA, regulates the distribution of prescription pharmaceutical drugs, requiring passage of a pedigree to track and trace each prescription drug at the saleable unit level through the distribution system. The DSCSA also imposes obligations on drug manufacturers related to suspect product identification/removal, verification, dealing only with authorized trading partners, and other elements. The DSCSA will be effective incrementally over a 10-year period, with serialization of prescription drug products distributed in the U.S. effective November 27, 2017 for drug manufacturers. The PDMA, DSCSA, and state laws limit the distribution of prescription pharmaceutical product samples and impose requirements to ensure accountability in distribution.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341"/>
        <w:spacing w:after="0" w:line="256" w:lineRule="auto"/>
        <w:rPr>
          <w:sz w:val="20"/>
          <w:szCs w:val="20"/>
          <w:color w:val="auto"/>
        </w:rPr>
      </w:pPr>
      <w:r>
        <w:rPr>
          <w:rFonts w:ascii="Arial" w:cs="Arial" w:eastAsia="Arial" w:hAnsi="Arial"/>
          <w:sz w:val="18"/>
          <w:szCs w:val="18"/>
          <w:color w:val="auto"/>
        </w:rPr>
        <w:t>Also, quality control and manufacturing procedures must continue to conform to cGMP after approval. The FDA periodically inspects manufacturing facilities to assess compliance with cGMP, which imposes certain procedural, substantive and recordkeeping requirements. Accordingly, manufacturers must continue to expend time, money and effort in the area of production and quality control to maintain compliance with cGMP and other aspects of regulatory compliance.</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rely, and expect to continue to rely, on third parties for the production of clinical and commercial quantities of our product candidates. Future FDA inspections may identify compliance issues at our facilities or at the facilities of our contract manufacturers that may disrupt production or distribution, or require substantial resources to correct. In addition, discovery of problems with a product or the failure to comply with applicable requirements may result in restrictions on a product, manufacturer or holder of an approved NDA, including withdrawal or recall of the product from the market or other voluntary, FDA-initiated or judicial action that could delay or prohibit further marketing.</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Once approval is granted, FDA may withdraw the approval if compliance with regulatory requirements is not maintained or if issues bearing on the product's safety or efficacy are discovered. Newly discovered or developed safety or effectiveness data or other information may also require changes to a product's approved labeling, including the addition of new warnings and contraindications, and also may require the implementation of other risk management measures. New government requirements, including those resulting from new legislation, may be established that could delay or prevent FDA approval of our products under development or negatively impact the marketing of any future approved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We have received orphan drug designation from the FDA for Translarna for the treatment of nmCF, nmDMD, nmMPS I, and nonsense mutation aniridia. The FDA may grant orphan drug designation to drugs intended to treat a "rare disease or condition," which is defined as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application for marketing approval. Orphan drug designation does not convey any advantage in, or shorten the duration of, the regulatory review and approval process. Orphan drug designation can provide opportunities for grant funding towards clinical trial costs, tax advantages and FDA user-fee benefits. In addition,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Competitors may receive approval of different drugs or biologics for the indications for which the orphan product has exclusivity.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exclusivity</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Market and data exclusivity provisions under the FDCA can delay the submission or the approval of certain applications for competing products.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During the exclusivity period, the FDA generally may not accept for review an abbreviated new drug application, or ANDA, or a 505(b)(2) NDA submitted by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another company that references the previously approved drug. However, an ANDA or 505(b)(2) NDA may be submitted after four years if it contains a certification of patent invalidity or non-infringement.</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For some applications that do not qualify for five-year exclusivity, the FDCA provides a shorter three-year period of market exclusivity. Three-year exclusivity applies to an NDA, 505(b)(2) NDA, or supplement to an existing NDA or 505(b)(2) NDA if new clinical investigations, other than bioavailability studies, that were conducted or sponsored by the applicant, are deemed by the FDA to be essential to the approval of the application, for example, for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Pediatric exclusivity is another type of non-patent market exclusivity in the United States and, if granted, provides for the attachment of an additional six months of market protection to the term of any existing Orange Book- listed patents or regulatory exclusivity, including the non-patent exclusivity periods described above. This six-month exclusivity may be granted based on the voluntary completion of a pediatric study or studies in accordance with an FDA-issued "Written Request" for such a study or studies.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order 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European Union</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obtained an orphan medicinal product designation from the European Commission, following an evaluation by the EMA's Committee for Orphan Medicinal Products, for Translarna for the treatment of nmDMD, Becker muscular dystrophy, nmCF, aniridia and nmMPS I. The European Commission can grant orphan medicinal product designation to products for which the sponsor can establish that it is intended for the diagnosis, prevention, or treatment of (1) a life-threatening or chronically debilitating condition affecting not more than five in 10,000 people in the European Union, or (2) a life threatening, seriously debilitating or serious and chronic condition in the European Union and that without incentives it is unlikely that sales of the drug in the European Union would generate a sufficient return to justify the necessary investment. In addition, the sponsor must establish that there is no other satisfactory method approved in the European Union of diagnosing, preventing or treating the condition, or if such a method exists, the proposed orphan drug will be of significant benefit to patients. Orphan drug designation is not a marketing authorization. It is a designation that provides a number of benefits, including fee reductions, regulatory assistance, and the possibility to apply for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centralized E.U. marketing authorization, as well as 10 years of market exclusivity following a marketing authorization. During this market exclusivity period, neither the European Medicines Agency, nor the European Commission nor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designation criteria are no longer met, including where it is shown that the product is sufficiently profitable not to justify maintenance of market exclusivity. In addition, a competing similar medicinal product may in limited circumstances be authorized prior to the expiration of the market exclusivity period, including if it is shown to be safer, more effective or otherwise clinically superior to our product. Our product can lose orphan designation, and the related benefits, prior to us obtaining a marketing authorization if it is demonstrated that the orphan designation criteria are no longer met.</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Overview of application process. </w:t>
      </w:r>
      <w:r>
        <w:rPr>
          <w:rFonts w:ascii="Arial" w:cs="Arial" w:eastAsia="Arial" w:hAnsi="Arial"/>
          <w:sz w:val="16"/>
          <w:szCs w:val="16"/>
          <w:color w:val="auto"/>
        </w:rPr>
        <w:t>To obtain regulatory approval of a drug under the European Union's regulatory systems and authorization procedures, an</w:t>
      </w:r>
      <w:r>
        <w:rPr>
          <w:rFonts w:ascii="Arial" w:cs="Arial" w:eastAsia="Arial" w:hAnsi="Arial"/>
          <w:sz w:val="16"/>
          <w:szCs w:val="16"/>
          <w:i w:val="1"/>
          <w:iCs w:val="1"/>
          <w:color w:val="auto"/>
        </w:rPr>
        <w:t xml:space="preserve"> </w:t>
      </w:r>
      <w:r>
        <w:rPr>
          <w:rFonts w:ascii="Arial" w:cs="Arial" w:eastAsia="Arial" w:hAnsi="Arial"/>
          <w:sz w:val="16"/>
          <w:szCs w:val="16"/>
          <w:color w:val="auto"/>
        </w:rPr>
        <w:t>applicant may submit MAAs under a centralized, decentralized, or national procedure. The centralized procedure is compulsory for certain medicinal products, including orphan medicinal products, like Translarna for the treatment of nmDMD and nmCF, and medicinal products produced by certain biotechnological processes, and optional for certain other innovative products. The centralized procedure enables applicants to obtain a marketing authorization that is valid in all E.U. member states based on a single application. Under the centralized procedure, the EMA's Committee for Human Medicinal Products, or CHMP, is required to adopt an opinion on a valid application within 210 days, excluding clock stops, when additional written or oral information is to be provided by the applicant in response to questions. More specifically, on day 120 of the procedure, once the CHMP has received the preliminary assessment reports and opinions from the rapporteur and co- rapporteur, it prepares a list of potential outstanding issues, referred to as "other concerns" or "major objections". These are sent to the applicant together with CHMP's recommendation. The CHMP can make one of two recommendations: (1) the marketing authorization could be granted provided that satisfactory answers are given to the "other concerns" and/or "major objections" identified and that all conditions outlined in the list of outstanding issues are implemented and complied with; or (2) the product is not approvable since there are "major objections".</w:t>
      </w:r>
    </w:p>
    <w:p>
      <w:pPr>
        <w:spacing w:after="0" w:line="18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Applicants have three months from the date of receiving the potential outstanding issues to respond to the CHMP, and can request a three-month extension if necessary. The granting of a marketing authorization will depend on the recommendations and potential major objections identified by the CHMP as well as the ability of the applicant to adequately respond to these findings. An accelerated assessment can be granted by the CHMP in exceptional cases, when a medicinal product is expected to be of a major public health interest, in particular from the viewpoint of therapeutic innovation. In this circumstance, the EMA ensures that the opinion of the CHMP is given within 150 days. After the adoption of the CHMP opinion, a decision on the MAA must be adopted by the European Commission, after consulting the European Union member states, which in total can take more than 60 days.</w:t>
      </w:r>
    </w:p>
    <w:p>
      <w:pPr>
        <w:spacing w:after="0" w:line="174" w:lineRule="exact"/>
        <w:rPr>
          <w:sz w:val="20"/>
          <w:szCs w:val="20"/>
          <w:color w:val="auto"/>
        </w:rPr>
      </w:pPr>
    </w:p>
    <w:p>
      <w:pPr>
        <w:ind w:right="200" w:firstLine="341"/>
        <w:spacing w:after="0" w:line="255" w:lineRule="auto"/>
        <w:rPr>
          <w:sz w:val="20"/>
          <w:szCs w:val="20"/>
          <w:color w:val="auto"/>
        </w:rPr>
      </w:pPr>
      <w:r>
        <w:rPr>
          <w:rFonts w:ascii="Arial" w:cs="Arial" w:eastAsia="Arial" w:hAnsi="Arial"/>
          <w:sz w:val="18"/>
          <w:szCs w:val="18"/>
          <w:color w:val="auto"/>
        </w:rPr>
        <w:t>An applicant for an MAA may request a re-examination in the event of a negative opinion, in connection with which CHMP appoints new rapporteurs. Within 60 days of receipt of the negative opinion, the applicant must submit a document explaining the basis for its request for re-examination. The CHMP has 60 days to consider the applicant's request for re-examination. The applicant may request an oral explanation before the CHMP, which is routinely granted, following which CHMP will adopt a final opinion. The final opinion, whether positive or negative, is published by the CHMP shortly following the CHMP meeting at which the oral explanation takes place.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Conditional marketing authorizations. </w:t>
      </w:r>
      <w:r>
        <w:rPr>
          <w:rFonts w:ascii="Arial" w:cs="Arial" w:eastAsia="Arial" w:hAnsi="Arial"/>
          <w:sz w:val="16"/>
          <w:szCs w:val="16"/>
          <w:color w:val="auto"/>
        </w:rPr>
        <w:t>In specific circumstances, as with Translarna for the treatment of nmDMD, E.U. legislation enables applicants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 a marketing authorization on a conditional basis prior to obtaining the comprehensive clinical data required for an application for a full marketing authorization. Such conditional approvals may be granted for products designated as orphan medicinal products, if (1) the risk-benefit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The granting of a conditional marketing authorization will depend on the applicant's ability to fulfill the conditions imposed within the agreed upon deadline.</w:t>
      </w:r>
    </w:p>
    <w:p>
      <w:pPr>
        <w:spacing w:after="0" w:line="18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For important information about matters that may adversely affect our ability to renew our conditional marketing authorization for Translarna, see "Risk Factors—Risks Related to the Development and Commercialization of our Product and our Product Candidates" beginning on page 48.</w:t>
      </w:r>
    </w:p>
    <w:p>
      <w:pPr>
        <w:spacing w:after="0" w:line="13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Variations to conditional marketing authorizations. </w:t>
      </w:r>
      <w:r>
        <w:rPr>
          <w:rFonts w:ascii="Arial" w:cs="Arial" w:eastAsia="Arial" w:hAnsi="Arial"/>
          <w:sz w:val="18"/>
          <w:szCs w:val="18"/>
          <w:color w:val="auto"/>
        </w:rPr>
        <w:t>After the granting of a conditional marketing authorization, the marketing authorization holder may</w:t>
      </w:r>
      <w:r>
        <w:rPr>
          <w:rFonts w:ascii="Arial" w:cs="Arial" w:eastAsia="Arial" w:hAnsi="Arial"/>
          <w:sz w:val="18"/>
          <w:szCs w:val="18"/>
          <w:i w:val="1"/>
          <w:iCs w:val="1"/>
          <w:color w:val="auto"/>
        </w:rPr>
        <w:t xml:space="preserve"> </w:t>
      </w:r>
      <w:r>
        <w:rPr>
          <w:rFonts w:ascii="Arial" w:cs="Arial" w:eastAsia="Arial" w:hAnsi="Arial"/>
          <w:sz w:val="18"/>
          <w:szCs w:val="18"/>
          <w:color w:val="auto"/>
        </w:rPr>
        <w:t>submit an application to vary the conditional marketing authorization under a variation procedure. For example, during the third quarter of 2015, we filed a variation to our marketing authorization of Translarna for the treatment of nmDMD to seek inclusion of Translarna for nmCF. In the case of the introduction of an additional therapeutic indication, the timeframe for the variation procedure for the initial assessment of the dossier is generally 90 days (plus up to 20 days for validation).</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However, in the framework of a variation application assessment procedure, the EMA may send one or more requests for supplementary information to the marketing authorization holder, requiring that additional information be provided by the marketing authorization holder to support its variation application. Such supplementary requests will be sent together with a timetable stating the date by when the marketing authorization holder must submit the requested data and, where appropriate, the extended evaluation period to be applied to such variation procedure. The 90 day variation procedure may be suspended for up to three months for the marketing authorization holder to submit its responses to such supplementary requests. The marketing authorization holder will be notified of the outcome of the CHMP's assessment of the variation procedure within 15 days from the adoption of the CHMP opinion. If unfavorable, the CHMP opinion may be subject to a re-examination procedure upon the marketing authorization holder's request. This may imply an additional minimum two month procedure. If the CHMP opinion is favorable, the European Commission will vary the marketing authorization to introduce the additional therapeutic indication within approximately two months from the receipt of the final CHMP opinion.</w:t>
      </w:r>
    </w:p>
    <w:p>
      <w:pPr>
        <w:spacing w:after="0" w:line="17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i w:val="1"/>
          <w:iCs w:val="1"/>
          <w:color w:val="auto"/>
        </w:rPr>
        <w:t xml:space="preserve">Additional requirements and considerations. </w:t>
      </w:r>
      <w:r>
        <w:rPr>
          <w:rFonts w:ascii="Arial" w:cs="Arial" w:eastAsia="Arial" w:hAnsi="Arial"/>
          <w:sz w:val="16"/>
          <w:szCs w:val="16"/>
          <w:color w:val="auto"/>
        </w:rPr>
        <w:t>Prior to obtaining a marketing authorization in the European Union, applicants have to demonstrate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all measures included in an EMA-approved Pediatric Investigation Plan, or PIP, covering all subsets of the pediatric population, unless the EMA has granted (1) a product-specific waiver, (2) a class waiver, or (3) a deferral for one or more of the measures included in the PIP. In the case of orphan medicinal products, completion of an approved PIP can result in an extension of the aforementioned market exclusivity period from ten to twelve years.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the European Union, independently generated data submitted as part of a full marketing authorization application dossier are protected by regulatory data protection ('data exclusivity') for a period of eight years from the granting of a marketing authorization for a 'reference product'. This means that for a period of eight years, competent authorities may not accept marketing authorization applications that rely on the independently generated data in the marketing authorization dossier of the reference product. Generic medicinal products that rely on the independently generated data of the reference product may not be placed on the market for 10 years from the granting of the initial marketing authorization for the reference medicinal product. These periods of data exclusivity and market exclusivity do not prevent other companies from obtaining a marketing authorization based on their own independently generated data.</w:t>
      </w:r>
    </w:p>
    <w:p>
      <w:pPr>
        <w:spacing w:after="0" w:line="174"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In connection with the marketing authorization granted for Translarna for the treatment of nmDMD by the EMA, we are required to comply with a range of requirements applicable to the manufacturing, marketing, promotion and sale of medicinal products that are in addition to the other conditions of the marketing authorization described above. We must, for example, comply with the E.U.'s stringent pharmacovigilance or safety reporting rules, pursuant to which post-authorization studies and additional monitoring obligations can be imposed. Other requirements relate to, for example, the manufacturing of products and active pharmaceutical ingredients in accordance with good manufacturing practice standards. Competent authorities of E.U. member states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w:t>
      </w:r>
    </w:p>
    <w:p>
      <w:pPr>
        <w:spacing w:after="0" w:line="17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our promotional activities with health care professionals. In addition, legislation adopted at the European Union level and by individual European Union member states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Promotion of indications not covered by the SmPC is specifically prohibited.</w:t>
      </w:r>
    </w:p>
    <w:p>
      <w:pPr>
        <w:spacing w:after="0" w:line="17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EMA is responsible for coordinating inspections to verify compliance with the principles of good clinical practice, or GCP, good manufacturing practice, or GMP, good laboratory practice, or GLP, and good pharmacovigilance practice, or GVP. These inspections are also intended to verify compliance with other aspects of the supervision of authorized medicinal products in use in the European Union. The EMA coordinates any inspection requested by the CHMP in connection with the assessment of MAAs or matters referred to these committees. Inspections may be routine or triggered by issues arising during the assessment of the dossier or by other information, such as previous inspection experience. Inspections usually are requested during the initial review of an MAA, but could arise post-authorization.</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Inspectors are drawn from member states of the European Union and the European Economic Area. Following an inspection, the inspectors provide a written inspection report to the inspected site or applicant and provide an opportunity for response. Some inspection reports require follow-up and may result in additional adverse consequences due to critical or major findings. The inspectors and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CHMP will comment on any response from an inspected site or applicant and may monitor future compliance with any proposed corrective action plan.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GCP area, inspectors grade their findings according to the following scale:</w:t>
      </w:r>
    </w:p>
    <w:p>
      <w:pPr>
        <w:spacing w:after="0" w:line="239" w:lineRule="exact"/>
        <w:rPr>
          <w:sz w:val="20"/>
          <w:szCs w:val="20"/>
          <w:color w:val="auto"/>
        </w:rPr>
      </w:pPr>
    </w:p>
    <w:p>
      <w:pPr>
        <w:ind w:left="1080" w:right="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Conditions, practices or processes that adversely affect the rights, safety or well-being of the subjects or the quality and integrity of data. Observations classified as critical may include a pattern of deviations classified as major.</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Major: Conditions, practices or processes that might adversely affect the rights, safety or well-being of the subjects and/or the quality and integrity of data. Observations classified as major may include a pattern of deviations or numerous minor observations.</w:t>
      </w:r>
    </w:p>
    <w:p>
      <w:pPr>
        <w:spacing w:after="0" w:line="152" w:lineRule="exact"/>
        <w:rPr>
          <w:rFonts w:ascii="Arial" w:cs="Arial" w:eastAsia="Arial" w:hAnsi="Arial"/>
          <w:sz w:val="16"/>
          <w:szCs w:val="16"/>
          <w:color w:val="auto"/>
        </w:rPr>
      </w:pPr>
    </w:p>
    <w:p>
      <w:pPr>
        <w:ind w:left="1080" w:right="46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Minor: Conditions, practices or processes that would not be expected to adversely affect the rights, safety or wellbeing of the subjects or the quality and integrity of data. Minor observations indicate the need for improvement of conditions, practices and processes.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Comments: Suggestions on how to improve quality or reduce the potential for a deviation to occur in the future.</w:t>
      </w:r>
    </w:p>
    <w:p>
      <w:pPr>
        <w:spacing w:after="0" w:line="225"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Possible consequences of critical and major findings include rejection of clinical trial data, causing significant delays in obtaining final marketing authorization, or other direct action by national regulatory authorities.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access programs</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Many jurisdictions allow the supply of unauthorized medicinal products in the context of strictly regulated and exceptional early access programs, and some countries may provide reimbursement for drugs provided in the context of such programs. In the European Union, the legal basis for early access programs, also referred to as named-patient and compassionate use programs, is set out in the E.U. legislation regulating the authorization, manufacture, distribution and marketing of medicinal products. Detailed regulatory requirements applicable to early access programs have been adopted and implemented by E.U. member states in their national laws. The promotion, advertising and marketing of unauthorized medicinal products is generally prohibited, and authorization for early access programs must generally be obtained from national competent authorities, which might not grant such authorization. Obtaining authorization for an early access program in one country does not ensure that authorization will be obtained in another country. U.S. law permits "expanded access" (also known as compassionate use and treatment use) for certain patients with serious diseases who have no comparable alternative treatment options. To provide expanded access, sponsors must submit detailed regulatory information to the FDA. FDA authorization depends on several different factors, including whether expanded access will interfere with related clinical trials or drug development. Sponsors may not promote products as safe or effective for expanded-access uses.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containment of healthcare costs has become a priority of federal, state and foreign governments, and the prices of pharmaceuticals have been a focus of this effort. The U.S. government, state legislatures and foreign governments have shown significant interest in implementing cost-containment programs to limit the growth of government-paid healthcare costs, including price controls, restrictions on reimbursement and requirements for substitution of generic products for branded prescription drugs. For example, the Medicare Prescription Drug, Improvement, and Modernization Act of 2003 expanded Medicare coverage for drug purchases by the elderly and changed the way Medicare covers and pays for pharmaceutical products. Cost reduction initiatives and other provisions of this law may decrease the coverage and reimbursement rate that we may receive for any approved products. Likewise, healthcare reform measures under the Patient Protection and Affordable Care Act of 2010, as amended by the Health Care and Education Reconciliation Act of 2010, referred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to together as the Affordable Care Act, contain provisions that may reduce the profitability of drug products by increasing the minimum level of Medicaid rebates payable by manufacturers of brand-name drugs from 15.1% to 23.1%, effective 2011, extending the Medicaid rebate to Medicaid managed care plans, changing the Medicaid rebate rates for line extensions or new formulations of oral solid dosage form, mandating discounts for certain Medicare Part D beneficiaries, and imposing a non-deductible annual fee on pharmaceutical manufacturers or importers who sell "branded prescription drugs," effective 2011, expanding the types of entities eligible for the "Section 340B discounts" for outpatient drugs, requiring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 and creating a process for approval of biologic therapies that are similar or identical to approved biologics. There are numerous steps required to implement the Affordable Care Act, and implementation remains ongoing. Congress also has enacted, and may continue to seek, legislative changes that alter, delay, or eliminate some of its provisions. On February 1, 2016, the Centers for Medicare and Medicaid Services released a long-awaited new rule, the Medicaid Program Covered Outpatient Drug Final Rule, effective April 1, 2016, implementing various provisions of the Affordable Care Act related to "covered outpatient drugs," including revising the calculation of "average manufacturer price" and addressing other issues relating to Medicaid price reporting and reimbursement. These and other changes contribute to the uncertainty of the ongoing implementation and impact of the Affordable Care Act; they also underscore the potential for additional reform going forward. Certain provisions of enacted or proposed legislative changes may negatively impact coverage and reimbursement of healthcare items and services.</w:t>
      </w:r>
    </w:p>
    <w:p>
      <w:pPr>
        <w:spacing w:after="0" w:line="182"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There is increasing pricing pressure from managed care organizations, government agencies and programs, particularly for new and innovative therapies, that could negatively affect the company's sales and profit margins. In the United States, these include practices of managed care groups, federal and state exchanges, and institutional and governmental purchasers. Changes to the health care system enacted as part of health care reform in the United States, as well as increased purchasing power of entities that negotiate on behalf of Medicare, Medicaid, and private sector beneficiaries, could negatively impact the company's sales and profit margins. Such pressures may also increase the risk of litigation or investigations by the government regarding pricing calculations. There has also been recent negative publicity and Congressional scrutiny around pharmaceutical drug pricing in the U.S. These dynamics may give rise to negative reactions to pricing decisions for products for which we may receive regulatory approval in the future, possibly limiting our ability to generate revenue and attain profitability. Moreover, the pharmaceutical industry will likely face greater regulation and political and legal action in the future. In this healthcare regulatory climate, there may be significant delays in and impediments to obtaining coverage and reimbursement for newly approved drugs. Any regulatory approval of our products is limited to specific diseases and indications for which our products have been deemed safe and effective by the FDA. Coverage by federal healthcare programs may be more limited than the purposes for which the drug is approved by the FDA or comparable foreign regulatory authorities' coverage of the same products. In the United States and markets in other countries, sales of any products for which we receive regulatory approval for commercial sale will depend in part on the extent to which the costs of the products will be covered and reimbursed by third-party payors, including government healthcare programs such as Medicare and Medicaid, private health insurers and other organizations. Obtaining reimbursement for orphan drugs may be particularly difficult because of the higher prices typically associated with drugs directed at smaller populations of patients. In addition, third-party payors are likely to impose strict requirements for reimbursement in the use of a higher priced drug.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process for determining whether a payor will provide coverage for a product may be separate from the process for setting the price or reimbursement rate that the payor will pay for the product once coverage is approved. Third- party payors may limit coverage to specific products on an approved list, or formulary, which might not include all of the FDA approved products for a particular indication. Third-party payors are increasingly challenging the price and examining the cost-effectiveness of medical products and services. We may need to conduct expensive pharmacoeconomic studies in order to demonstrate the cost-effectiveness of our products. Our product candidates may not be considered cost-effective. In the future, we may need to conduct direct head-to-head studies to demonstrate clinical superiority and cost- effectiveness. Our product candidates may not be considered clinically superior and cost- effective to competitor products.</w:t>
      </w:r>
    </w:p>
    <w:p>
      <w:pPr>
        <w:spacing w:after="0" w:line="20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other third-party payors fail to provide adequate coverage and reimbursement. In addition, there is an increasing emphasis on managed care in the United States that may negatively impact pharmaceutical pricing.</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some countries, particularly the countries of the European Union, the pricing of prescription pharmaceuticals is subject to governmental control. In these countries, pricing and reimbursement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In some countries, governments can set conditions that must be satisfied for prices to be set at a certain value. Political, economic and regulatory developments may further complicate pricing and reimbursement negotiations, and pricing negotiations may continue after reimbursement has been obtained. Reference pricing used by various E.U. member states, and parallel distribution (arbitrage between low-priced and high- priced member states), can further reduce prices. In some countries we may be required to conduct a clinical trial or other studies that compare the cost-effectiveness of our product candidate to other available therapies in order to obtain reimbursement or pricing approval.</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For important information regarding certain pricing and reimbursement matters see "Item 1. Business—Market Access Considerations" and "Item 1A. Risk Factors," including the risk factor titled "Our initial commercial launch of Translarna has begun in, and is expected to continue to take place in, countries that tend to impose strict price controls, which may adversely affect our revenues, if any. Failure to obtain and maintain acceptable pricing and reimbursement terms for Translarna in the European Economic Area and other jurisdictions would prevent us from marketing our products in such regions."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Freedom of Information Requests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are also subject, in the U.S. and many other countries, to various regulatory schemes that require disclosure of clinical trial data or allow access to our data via freedom of information requests. We have been and may, from time to time, be notified by regulators, such as the EMA or the competent authorities of EU member states that they have received a freedom of information request for documents that they hold relating to our company, including information related to our product or our product candidates. For example, in 2015, we were notified by the EMA that it had received a request in accordance with EU regulations seeking access to aspects of our Translarna marketing authorization application, or MAA. Following litigation initiated by us in the European Court of Justice, we have reached an interim agreement with the EMA which stays disclosure pursuant to the request received in 2015 or pursuant to certain requests that may be received in the future until similar litigation between the EMA and another company is resolved. While we expect to continue to object to the disclosure of any information that we consider commercially confidential, there can be no assurance that we will be successful if any such challenge is raised.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 and Abuse Laws</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Any present or future arrangements with third-party payors, healthcare providers and professionals and customers may expose us to broadly applicable fraud and abuse and other healthcare laws and regulations that may restrict certain marketing and contracting practices. These laws include, and are not limited to, anti-kickback and false claims statutes.</w:t>
      </w:r>
    </w:p>
    <w:p>
      <w:pPr>
        <w:spacing w:after="0" w:line="19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Both the federal Foreign Corrupt Practices Act, or FCPA, and the UK Bribery Act of 2010, or Bribery Act are broad in scope and will require companies to make and keep books and records that accurately and fairly reflect the transactions of the company and to devise and maintain an adequate system of internal accounting controls. The FCPA prohibits the offering, promising, giving, or authorizing others to give anything of value, either directly or indirectly, to a non-U.S. government official in order to improperly influence any act or decision, secure any other improper advantage, or obtain or retain business. Under the UK Bribery Act, companies which carry on a business or part of a business in the United Kingdom may be held liable for bribes given, offered or promised to any person, including non-UK government officials and private persons, by employees and persons associated with the company in order to obtain or retain business or a business advantage for the company.</w:t>
      </w:r>
    </w:p>
    <w:p>
      <w:pPr>
        <w:spacing w:after="0" w:line="172"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 order or recommendation of, any good or service, for which payment may be made under federal and state healthcare programs such as Medicare and Medicaid. This statute has been broadly interpreted to apply to manufacturer arrangements with prescribers, purchasers and formulary managers, among others. Although a number of statutory exemptions and regulatory safe harbors exist to protect certain common activities from prosecution, the exemptions and safe harbors for this statute are narrow, and practices that involve compensation intended to induce prescriptions, purchases, or recommendations may be subject to scrutiny if they do not qualify for an exemption or safe harbor. Our practices may not always meet all of the criteria for safe harbor protection. Further, the Affordable Care Act amended the intent requirement of the federal anti-kickback and criminal health care fraud statutes. This amendment provides that a person or entity no longer needs to have knowledge of these statutes or specific intent to violate them. In addition, the government may assert that a claim including items or services resulting from a violation of the federal anti-kickback statute constitutes a false or fraudulent claim for purposes of the federal False Claims Act. Several other countries, including the United Kingdom, have enacted similar anti-kickback, fraud and abuse laws and regulations.</w:t>
      </w:r>
    </w:p>
    <w:p>
      <w:pPr>
        <w:spacing w:after="0" w:line="18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Several pharmaceutical and health care companies have been prosecuted under these laws for allegedly providing free product to customers with the expectation that the customers would bill federal programs for the free product. Other companies have been prosecuted for causing false claims to be submitted because of these companies' marketing of a product for unapproved, and thus non reimbursable, uses. Potential liability under the federal False Claims Act includes mandatory treble damages and significant per claim penalties, currently set at $5,500 to $11,000 per false claim. The majority of states also have statutes or regulations similar to the federal anti-kickback statute and False Claims Act, which apply to items and services reimbursed under Medicaid and other state programs; furthermore, in several states, these statutes and regulations apply regardless of the payor. Sanctions under these federal and state laws may include civil monetary penalties, exclusion of a manufacturer's product from reimbursement under government programs, debarment, criminal fines, and imprisonment.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Affordable Care Act included a provision requiring certain providers and suppliers of items and services to Federal Health Care Programs to report and return overpayments within sixty days after they are "identified" (the "Overpayment Statute"). In February 2016, the Centers for Medicare and Medicaid Services ("CMS") released long-awaited regulatory guidance (in the form of a final rule) to Medicare Part A and Part B providers and suppliers regarding how to comply with the Overpayment Statute. CMS had previously released a final rule addressing overpayments involving Medicare Part C and Part D providers in May 2014. Although Medicare Part A/B/C/D providers and suppliers have faced federal False Claims Act liability since 2010 for failures to comply with the Overpayment Statute, these final rules interpreting the Overpayment Statute provide guidance to providers and suppliers regarding how to comply appropriately with applicable obligations, and guidance to government regulators and enforcement authorities regarding monitoring and prosecuting suspected violations. This final rule is not directly applicable to manufacturers, but may impact their customers and potential customers who are Medicare providers and suppliers.</w:t>
      </w:r>
    </w:p>
    <w:p>
      <w:pPr>
        <w:spacing w:after="0" w:line="172"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federal Physician Payments Sunshine Act, enacted as part of the Affordable Care Act, and its implementing regulations, require manufacturers of drugs, devices, biologics and medical supplies to report to the Department of Health and Human Services information related to payments and other transfers of value made to covered recipients, such as physicians and teaching hospitals, as well as physician ownership and investment interests. Payments made to physicians and certain research institutions for clinical trials are included within the ambit of this law. Pharmaceutical manufacturers are required to report and disclose payments and ownership and investment interests held by physicians and their immediate family members during the preceding calendar year. Manufacturers were required to make these first reports for information collected in 2013 by March 31, 2014. Such information is publicly available from the Secretary of Health and Human Services in a searchable format, with data collected in each calendar year published the following June. . Failure to submit required information may result in civil monetary penalties of up to $150,000 per year (and up to $1.0 million per year for "knowing failures") for all payments, transfers of value or ownership or investment interests not reported in an annual submission. If not preempted by this federal law, several states currently require pharmaceutical companies to report expenses relating to the marketing and promotion of pharmaceutical products and to report gifts and payments to individual physicians in those states. Depending on the state, legislation may prohibit various other marketing related activities, or require the posting of information relating to clinical studies and their outcomes. In addition, certain states, such as California, Nevada, Connecticut and Massachusetts, require pharmaceutical companies to implement compliance programs or marketing codes and several other states are considering similar proposals. Manufacturers that fail to comply with these state laws can face civil penalties.</w:t>
      </w:r>
    </w:p>
    <w:p>
      <w:pPr>
        <w:spacing w:after="0" w:line="18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Statutory requirements to disclose publicly payments made to healthcare professionals and healthcare organizations have also been enacted in certain European Union member states. In addition, self-regulatory bodies of the pharmaceuticals industry, such as the European Federation of Pharmaceutical Industries and Associations ("EFPIA"), have published codes of conduct to which its members have agreed to abide to, that require the public disclosure of payments made to healthcare professionals and healthcare organizations.</w:t>
      </w:r>
    </w:p>
    <w:p>
      <w:pPr>
        <w:spacing w:after="0" w:line="197" w:lineRule="exact"/>
        <w:rPr>
          <w:sz w:val="20"/>
          <w:szCs w:val="20"/>
          <w:color w:val="auto"/>
        </w:rPr>
      </w:pPr>
    </w:p>
    <w:p>
      <w:pPr>
        <w:jc w:val="both"/>
        <w:ind w:right="60" w:firstLine="348"/>
        <w:spacing w:after="0" w:line="284" w:lineRule="auto"/>
        <w:rPr>
          <w:sz w:val="20"/>
          <w:szCs w:val="20"/>
          <w:color w:val="auto"/>
        </w:rPr>
      </w:pPr>
      <w:r>
        <w:rPr>
          <w:rFonts w:ascii="Arial" w:cs="Arial" w:eastAsia="Arial" w:hAnsi="Arial"/>
          <w:sz w:val="16"/>
          <w:szCs w:val="16"/>
          <w:color w:val="auto"/>
        </w:rPr>
        <w:t>The Health Insurance Portability and Accountability Act of 1996, or HIPAA, as amended by the Health Information Technology for Economic and Clinical Health Act, imposes criminal liability for executing a scheme to defraud any healthcare benefit program and for knowingly and willfully falsifying, concealing or covering up a material fact or making any materially false statements in connection with the delivery of or payment for healthcare benefits, items or services.</w:t>
      </w:r>
    </w:p>
    <w:p>
      <w:pPr>
        <w:spacing w:after="0" w:line="1" w:lineRule="exact"/>
        <w:rPr>
          <w:sz w:val="20"/>
          <w:szCs w:val="20"/>
          <w:color w:val="auto"/>
        </w:rPr>
      </w:pPr>
    </w:p>
    <w:p>
      <w:pPr>
        <w:jc w:val="both"/>
        <w:ind w:right="480"/>
        <w:spacing w:after="0" w:line="302" w:lineRule="auto"/>
        <w:rPr>
          <w:sz w:val="20"/>
          <w:szCs w:val="20"/>
          <w:color w:val="auto"/>
        </w:rPr>
      </w:pPr>
      <w:r>
        <w:rPr>
          <w:rFonts w:ascii="Arial" w:cs="Arial" w:eastAsia="Arial" w:hAnsi="Arial"/>
          <w:sz w:val="16"/>
          <w:szCs w:val="16"/>
          <w:color w:val="auto"/>
        </w:rPr>
        <w:t>HIPAA also imposes obligations, including mandatory contractual terms, with respect to safeguarding the privacy, security and transmission of individually identifiable health information, and imposes criminal and civil liability for violations of these obligations. Recently, the U.S. federal government criminally prosecuted an employee of a pharmaceutical company for an alleged violation of the privacy requirements under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HIPAA. Furthermore, certain privacy laws and genetic testing laws may apply directly to our operations and/or those of our collaborators and may impose restrictions on our use and dissemination of individuals' health information.</w:t>
      </w:r>
    </w:p>
    <w:p>
      <w:pPr>
        <w:spacing w:after="0" w:line="186"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foregoing discussion should be read in conjunction with the information appearing under "Risk Factors—Our relationships with customers, healthcare providers and professionals and third-party payors are or will be subject to applicable anti-kickback, fraud and abuse, transparency and other healthcare laws and regulations, which could expose us to criminal sanctions, civil penalties, contractual damages, reputational harm and diminished profits and future earnings" which contains important information regarding some of the risks to our business arising as a result fraud and abuse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160" w:firstLine="341"/>
        <w:spacing w:after="0" w:line="306" w:lineRule="auto"/>
        <w:rPr>
          <w:sz w:val="20"/>
          <w:szCs w:val="20"/>
          <w:color w:val="auto"/>
        </w:rPr>
      </w:pPr>
      <w:r>
        <w:rPr>
          <w:rFonts w:ascii="Arial" w:cs="Arial" w:eastAsia="Arial" w:hAnsi="Arial"/>
          <w:sz w:val="16"/>
          <w:szCs w:val="16"/>
          <w:color w:val="auto"/>
        </w:rPr>
        <w:t>As of December 31, 2015, we had 320 employees, of whom 309 were employed on a full-time basis, and 37 full-time consultants and contractors. None of our U.S. based employees are represented by labor unions or covered by collective bargaining agreements, although certain international employees are covered by collective labor agreements established under local law. We consider our relationship with our employees to be good.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were incorporated under the laws of the State of Delaware on March 31, 1998, under the name PTC Therapeutics, Inc. Our principal executive offices are located at 100 Corporate Court, South Plainfield, New Jersey 07080. Our telephone number is (908) 222-7000. We maintain a website at www.ptcbio.com.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make available, free of charge on our website, www.ptcbio.com, our annual reports on Form 10-K, quarterly reports on Form 10-Q, current reports on Form 8-K, and all amendments to those reports filed or furnished pursuant to Section 13(a) or 15(d) of the Securities Exchange Act of 1934, as amended, or the Exchange Act, as soon as reasonably practicable after we electronically file those reports with, or furnish them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Such reports, proxy statements and other information may be obtained through the SEC's website (www.sec.gov) or by visiting the Public Reference Room of the SEC at 100 F Street, N.E., Washington D.C. 20549 or calling the SEC at 1-800-SEC-0330. The information contained on, or that can be accessed through, our website is not a part of or incorporated by reference in this Annual Report on Form 10-K.</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1 of this Annual Report on Form 10-K for a discussion of some of the forward looking statements that are qualified by these risk factors. If any of the following risks occur, our business, financial condition, results of operations and future growth prospects could be materially and adversely affected.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We have incurred significant losses since our inception. We expect to incur significant expenses in connection with the continued expansion of our global operations and execution of our commercial strategy for Translarna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(ataluren) in the European Economic Area and other territories, our efforts to obtain broader and additional regulatory approvals for Translarna, and the development of our product pipeline. We expect to continue to incur operating losses for at least the next several years and may never generate profits from operations or maintain profitability.</w:t>
      </w:r>
    </w:p>
    <w:p>
      <w:pPr>
        <w:spacing w:after="0" w:line="16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Since inception, we have incurred significant operating losses. As of December 31, 2015, we had an accumulated deficit of $593.0 million. We have historically financed our operations primarily through the issuance and sale of our common stock in public offerings, the private placements of our preferred stock, collaborations, bank debt, convertible debt financings, and grants and clinical trial support from governmental and philanthropic organizations and patient advocacy groups in the disease areas addressed by our product and product candidates. We expect to continue to incur significant expenses and operating losses for at least the next several years. The net losses we incur may fluctuate significantly from quarter to quarter.</w:t>
      </w:r>
    </w:p>
    <w:p>
      <w:pPr>
        <w:spacing w:after="0" w:line="17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a growing commercial-stage biopharmaceutical company, but prior to 2014 we devoted substantially all of our efforts on research and development, including clinical trials. In August 2014, the European Commission granted marketing authorization for Translarna™ (ataluren) for the treatment of Duchenne muscular dystrophy caused by nonsense mutations, or nmDMD, in ambulatory patients aged five years and older. The marketing authorization is subject to annual review and renewal by the European Commission following reassessment by the European Medicines Agency, or EMA, of the risk benefit balance of the authorization, which we refer to as the annual EMA reassessment, and was further conditioned on our submission of the final report, including additional efficacy and safety data, from ACT DMD, which we submitted in January 2016. See "Risk Factors—Risks Related to Regulatory Approval of our Product and our Product Candidates" for further detail regarding the annual EMA reassessment process, including a description of the risk benefit balance.</w:t>
      </w:r>
    </w:p>
    <w:p>
      <w:pPr>
        <w:spacing w:after="0" w:line="17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We announced the initial results of ACT DMD in October 2015. While the primary efficacy endpoint in the intent to treat population, or ITT, did not achieve statistical significance, we believe that the totality of clinical data from ACT DMD and our prior Phase 2b trial support the clinical benefit of Translarna for the treatment of nmDMD. In February 2016, we received a Refuse to File letter from the FDA regarding our NDA for Translarna for the treatment of nmDMD, which was primarily based on our analysis of the results of ACT DMD and the totality of clinical data from our trials. There is substantial risk that the FDA will continue to not agree and that the EMA and other regulators may not agree with our interpretation of the results of ACT DMD and the totality of clinical data from our trials. An inability to maintain current or obtain new marketing authorizations for Translarna for nmDMD, including in Europe, the United States, or in other territories, would have a material adverse effect on our ability to generate revenue from the sales of Translarna for the treatment of nmDMD. See "Risk Factors—Risks Related to the Development and Commercialization of our Product and our Product Candidates" for further detail regarding how the ACT DMD results could impact our ability to commercialize Translarna.</w:t>
      </w:r>
    </w:p>
    <w:p>
      <w:pPr>
        <w:spacing w:after="0" w:line="17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marketing authorization described above allows us to market Translarna in the 31 member states of the European Economic Area, or EEA. We commenced our commercial launch of Translarna in Germany in December 2014 and we expect to commercially launch in other key countries in the EEA through the fourth quarter of 2015 and in future years, subject to completion of pricing and reimbursement negotiations. We anticipate that our expenses will increase in connection with the expansion of our global infrastructure as we continue to establish an international presence and commercialize Translarna for the treatment of nmDMD, including sales and marketing, legal and regulatory, and distribution and manufacturing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we expect to continue to incur significant costs in connection with our ongoing confirmatory Phase 3 ACT CF clinical trial of Translarna as well as our Phase 2 proof-of-concept studies for nmMPS I, nonsense mutation aniridia and nonsense mutation Dravet syndrome/CDKL5. We also expect to incur ongoing research and development expenses for our other product candidates, including our ongoing Phase 1 clinical study under our cancer stem cell program. In addition, we may incur substantial costs in connection with our efforts to resolve the issues raised by the FDA in its Refuse to File letter regarding our NDA for Translarna for the treatment of nmDMD and our efforts to advance our regulatory submissions, including our recent submissions with the EMA related to our marketing authorization for Translarna for the treatment of nmDMD, and our submitted marketing authorization variation with the EMA, which seeks to include Translarna for the treatment of nmCF. We have begun seeking and intend to continue to seek marketing authorization for Translarna for the treatment of nmDMD in territories outside of the EEA and we may also seek marketing authorization for Translarna for other indications. These efforts may significantly impact the timing and extent of our commercialization expenses.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our expenses will increase if and as we:</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pre-clinical or clinical trials of Translarna for the treatment of nmDMD;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or continue the research and development of Translarna for additional indications and of our other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ability to generate profits from operations and become and remain profitable depends on our ability to successfully develop and commercialize drugs that generate significant revenue. This will require us to be successful in a range of challenging activities, including:</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our confirmatory Phase 3 ACT CF clinical trial of Translarna;</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advancing our regulatory submissions, including our recent submissions with the EMA related to our marketing authorization in the EEA for Translarna for the treatment of nmDMD and our marketing authorization variation with the EMA to seek inclusion of Translarna for the treatment of nmCF;</w:t>
      </w:r>
    </w:p>
    <w:p>
      <w:pPr>
        <w:spacing w:after="0" w:line="221" w:lineRule="exact"/>
        <w:rPr>
          <w:rFonts w:ascii="Arial" w:cs="Arial" w:eastAsia="Arial" w:hAnsi="Arial"/>
          <w:sz w:val="18"/>
          <w:szCs w:val="18"/>
          <w:color w:val="auto"/>
        </w:rPr>
      </w:pPr>
    </w:p>
    <w:p>
      <w:pPr>
        <w:jc w:val="both"/>
        <w:ind w:left="1080" w:right="1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resolving the matters set forth in the Refuse to File letter we received from the FDA in connection with our NDA for Translarna for the treatment of nmDMD in a timely manner or at all, including, if required, performing additional clinical and non-clinical trials or analyses at significant cost which, if successful, may enable FDA review of an NDA submission by us;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the territories in which we are approved to market Translarna for the treatment of nmDMD;</w:t>
      </w:r>
    </w:p>
    <w:p>
      <w:pPr>
        <w:spacing w:after="0" w:line="238"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initiating clinical studies of Translarna for the treatment of additional indications, including nmMPS I, nonsense mutation aniridia, and nonsense mutation Dravet syndrome/CDKL5 and successfully advancing our other programs and collaborations, including our cancer stem cell, and SMA programs;</w:t>
      </w:r>
    </w:p>
    <w:p>
      <w:pPr>
        <w:spacing w:after="0" w:line="221"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 global commercial infrastructure, including the sales, marketing and distribution capabilities to effectively market and sell Translarna in Europe, the United States, and other parts of the world;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implementing marketing and distribution relationships with third parties in territories where we do not pursue direct commercialization;</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and securing adequate pricing and reimbursement terms for Translarna on a timely basis, or at all, in the countries in which we have and may obtain regulatory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and securing adequate reimbursement from other third-party payors for Translarna;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commercial sales of Translarna for the treatment of nmDMD in accordance with our estimated timeline;</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the marketing authorization of Translarna for the treatment of nmDMD in the EEA and satisfying all related conditions and ongoing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patients eligible for treatment with Translarna;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approval to market Translarna for the treatment of other indications;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the approved product label of Translarna for the treatment of nmDMD;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protecting our rights to our intellectual property portfolio related to Translarna;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contracting for the manufacture and distribution of commercial quantities of Translarna.</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may never succeed in these activities and, even if we do, may never generate revenues that are significant enough to generate profits from operations. Even if we do generate profits from operations, we may not be able to sustain or increase profitability on a quarterly or annual basis. Our failure to generate profits from operations and remain profitable would decrease the value of our company and could impair our ability to raise capital, expand our business, maintain our research and development efforts, diversify our product offerings or continue our operations. A decline in the value of our company could also cause our stockholders to lose all or part of their investment in our company.</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86" w:lineRule="exact"/>
        <w:rPr>
          <w:sz w:val="20"/>
          <w:szCs w:val="20"/>
          <w:color w:val="auto"/>
        </w:rPr>
      </w:pPr>
    </w:p>
    <w:p>
      <w:pPr>
        <w:ind w:right="80" w:firstLine="348"/>
        <w:spacing w:after="0" w:line="312" w:lineRule="auto"/>
        <w:rPr>
          <w:sz w:val="20"/>
          <w:szCs w:val="20"/>
          <w:color w:val="auto"/>
        </w:rPr>
      </w:pPr>
      <w:r>
        <w:rPr>
          <w:rFonts w:ascii="Arial" w:cs="Arial" w:eastAsia="Arial" w:hAnsi="Arial"/>
          <w:sz w:val="15"/>
          <w:szCs w:val="15"/>
          <w:color w:val="auto"/>
        </w:rPr>
        <w:t>We expect to incur significant expenses related to the establishment of an expanded international presence and the commercialization of Translarna, including costs related to product sales and marketing, legal and regulatory, and distribution and manufacturing, which may further increase as we expand the geographic area covered by our commercial launch and in the event we receive additional approvals for the use of Translarna or any of our other product candidates. In addition, we expect our research and development expenses to increase in connection with our ongoing activities, particularly as we continue our confirmatory Phase 3 ACT CF clinical trial of Translarna, continue to pursue our Phase 2 proof-of-concept studies of Translarna in nmMPS I, nonsense mutation aniridia and nonsense mutation Dravet syndrome/CDKL5, and our Phase 1 clinical study under our cancer stem cell program. Furthermore, since the closing of our initial public offering in June 2013, we have incurred additional costs associated with operating as a public company and will continue to incur such costs.</w:t>
      </w:r>
    </w:p>
    <w:p>
      <w:pPr>
        <w:spacing w:after="0" w:line="159"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believe that our cash flows from product sales, together with existing cash and cash equivalents, including the net proceeds from our offering of 3.00% convertible senior notes due August 15, 2022, or the Convertible Note offering, public offerings of common stock, marketable securities and research funding that we expect to receive under our collaborations, will be sufficient to fund our operating expenses and capital expenditure requirements for at least the next twelve months. We have based this estimate on assumptions that may prove to be wrong, and we could use our capital resources sooner than we currently expect.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1080" w:right="140" w:hanging="532"/>
        <w:spacing w:after="0" w:line="306"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Translarna and our other product candidates, including those in connection with our recent submissions with the EMA related to our marketing authorization in the EEA for Translarna for the treatment of nmDMD and variation submission with the EMA to seek inclusion of Translarna for the treatment of nmCF on our current marketing authorization;</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EMA and regulators in other territories agree with our interpretation of the results of ACT DMD;</w:t>
      </w:r>
    </w:p>
    <w:p>
      <w:pPr>
        <w:spacing w:after="0" w:line="238" w:lineRule="exact"/>
        <w:rPr>
          <w:rFonts w:ascii="Arial" w:cs="Arial" w:eastAsia="Arial" w:hAnsi="Arial"/>
          <w:sz w:val="18"/>
          <w:szCs w:val="18"/>
          <w:color w:val="auto"/>
        </w:rPr>
      </w:pPr>
    </w:p>
    <w:p>
      <w:pPr>
        <w:ind w:left="1080" w:right="3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and results of our confirmatory Phase 3 ACT CF clinical trial of Translarna as well as our Phase 2 proof of concept studies for nmMPS I and nonsense mutation aniridia and nonsense mutation Dravet syndrome/CDKL5 and our ongoing Phase 1 clinical study under our cancer stem cell program;</w:t>
      </w:r>
    </w:p>
    <w:p>
      <w:pPr>
        <w:spacing w:after="0" w:line="207" w:lineRule="exact"/>
        <w:rPr>
          <w:rFonts w:ascii="Arial" w:cs="Arial" w:eastAsia="Arial" w:hAnsi="Arial"/>
          <w:sz w:val="18"/>
          <w:szCs w:val="18"/>
          <w:color w:val="auto"/>
        </w:rPr>
      </w:pPr>
    </w:p>
    <w:p>
      <w:pPr>
        <w:ind w:left="1080" w:right="4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able to resolve the matters set forth in the Refuse to File letter we received from the FDA in connection with our NDA for Translarna for the treatment of nmDMD, including whether we will be required to complete any additional clinical and non-clinical trials or analyses to enable FDA review of an NDA submission by us;</w:t>
      </w:r>
    </w:p>
    <w:p>
      <w:pPr>
        <w:spacing w:after="0" w:line="221" w:lineRule="exact"/>
        <w:rPr>
          <w:rFonts w:ascii="Arial" w:cs="Arial" w:eastAsia="Arial" w:hAnsi="Arial"/>
          <w:sz w:val="18"/>
          <w:szCs w:val="18"/>
          <w:color w:val="auto"/>
        </w:rPr>
      </w:pPr>
    </w:p>
    <w:p>
      <w:pPr>
        <w:ind w:left="1080" w:right="50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costs and timing of our commercialization activities, including product sales, marketing, legal, regulatory, distribution and manufacturing, in the EEA for nmDMD and any of our other product candidates that may receive marketing authorization or any additional indications or territories in which we receive authorization to market Translarna;</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scope of growth in our employee base;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Translarna for additional indications and for our other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received from commercial sales of Translarna or any of our other product candidates;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property-related claims;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invest in other businesses, products and technologies; and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including our collaborations with Roche and the SMA Foundation, and our ability to obtain research funding and achieve milestones under these agreements.</w:t>
      </w:r>
    </w:p>
    <w:p>
      <w:pPr>
        <w:spacing w:after="0" w:line="186"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Conducting preclinical testing and clinical trials is a time-consuming, expensive and uncertain process that takes years to complete, and we may never generate the necessary data or results required to obtain regulatory approval and achieve product sales for certain product candidates or indications. In addition, our product candidates, if approved, may not achieve commercial success, including Translarna for the treatment of nmDMD.</w:t>
      </w:r>
    </w:p>
    <w:p>
      <w:pPr>
        <w:spacing w:after="0" w:line="16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are continuing to engage in significant commercialization efforts for Translarna for nmDMD throughout the EEA. We commenced our commercial launch of Translarna in Germany in December 2014 and we expect to commercially launch in other key countries in the EEA in 2016 and in future years, subject to completion of pricing and reimbursement negotiations. In the third quarter of 2014, we began to recognize revenue for payments received under reimbursed early access programs for Translarna for nmDMD patients in selected countries. We expect that our commercial revenue generated in the next several years will be derived exclusively from sales of Translarna for the treatment of nmDMD and other indications, if any, that may receive marketing authorization and that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commercial sales will generally be limited to countries in the European Economic Area and other territories in which we have obtained marketing authorization and reimbursement approval or are permitted to initiate treatment under reimbursed early access programs or pursuant to other procedures. Other commercial revenue, if any, would be derived from sales of products that we are not planning to have commercially available for several years, if at all.</w:t>
      </w:r>
    </w:p>
    <w:p>
      <w:pPr>
        <w:spacing w:after="0" w:line="161"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Accordingly, we will need to continue to rely on additional financing in connection with our continuing operations and to achieve our business objectives. In addition, we may seek additional capital due to favorable market conditions or based on strategic considerations, even if we believe that we have sufficient funds for our current or future operating plans.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spacing w:after="0" w:line="16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grants and clinical trial support from governmental and philanthropic organizations and patient advocacy groups in the disease areas addressed by our product candidates; and marketing, distribution or licensing arrangements.</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our stockholders to evaluate the success of our business to date and to assess our future viability.</w:t>
      </w:r>
    </w:p>
    <w:p>
      <w:pPr>
        <w:spacing w:after="0" w:line="260"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the third quarter of 2014 we began to recognize revenue for payments received under reimbursed early access programs for Translarna for nmDMD patients in selected countries, and we commenced our commercial launch of Translarna in Germany in December 2014. Prior to such time, our operations were limited to organizing and staffing our company, developing and securing our technology, raising capital, undertaking preclinical studies and clinical trials of our product candidates, and preparing for the commercial launch of Translarna for nmDMD in Europe. We are in the process of transitioning from a company with a research and development focus to a company capable of supporting global commercial activities. We may not be successful in such a transition. Other than with respect to the marketing authorization granted by the European Commission in August 2014 for Translarna for the treatment of nmDMD, which is subject to annual EMA reassessment until we fulfill certain obligations, and the marketing authorizations granted in Israel and South Korea (which are largely contingent upon continued EMA approval), we have not proven our ability to successfully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obtain marketing authorizations to sell our product or product candidates. In addition, we have not yet demonstrated our ability to complete development of product candidates, manufacture a commercial scale product or arrange for a third party to do so on our behalf, or conduct sales and marketing activities necessary for a successful full scale product commercialization. Consequently, any predictions our stockholders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17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subject to annual limitations under federal and state tax law that could materially affect our ability to utilize such losses and attributes.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a corporation undergoes an "ownership change" within the meaning of Section 382 of the Internal Revenue Code, or Section 382, the corporation's ability to utilize any net operating losses, or NOLs, and certain tax credits and other attributes generated before such an ownership change, is limited. We believe that we have in the past experienced ownership changes within the meaning of Section 382 that have resulted in limitations under Section 382 (and similar state provisions) on the use of our NOLs and other tax attributes.</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Future changes in ownership could result in additional ownership changes within the meaning of Section 382 that could further limit our ability to utilize our NOLs and certain other tax attributes.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income tax rates could adversely affect our results of operations.</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subject to income taxes in the Unites States and various foreign jurisdictions. Taxes will be incurred as income is earned among these different jurisdictions. Various factors may have favorable or unfavorable effects on our effective income tax rate. These factors include, but are not limited to, interpretations of existing tax laws, changes in tax laws and rates, the accounting for stock options and other share-based compensation, changes in accounting standards, future levels of research and development spending, changes in the mix and level of pre-tax earnings by taxing jurisdiction, the outcome of examinations by the U.S. Internal Revenue Service and other jurisdictions, the accuracy of our estimates for unrecognized tax benefits, the realization of deferred tax assets, or by changes to our ownership or capital structure. The impact on our income tax provision resulting from the above-mentioned factors and others may be significant and could adversely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and our Product Candidates</w:t>
      </w:r>
    </w:p>
    <w:p>
      <w:pPr>
        <w:spacing w:after="0" w:line="231"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b w:val="1"/>
          <w:bCs w:val="1"/>
          <w:i w:val="1"/>
          <w:iCs w:val="1"/>
          <w:color w:val="auto"/>
        </w:rPr>
        <w:t>ACT DMD, our Phase 3 trial for Translarna for the treatment of nmDMD, did not meet its primary efficacy endpoint, and we recently received a Refuse to File letter from the FDA for our NDA submitted with data from this trial, and there is substantial risk that regulators in addition to the FDA, such as the EMA or other regulators, will not agree with our interpretation of the results of ACT DMD and the totality of clinical data from our trials in Translarna for the treatment of nmDMD, which would have a material adverse effect on our business financial performance and results of operations.</w:t>
      </w:r>
    </w:p>
    <w:p>
      <w:pPr>
        <w:spacing w:after="0" w:line="15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October 2015, we announced the initial results of ACT DMD, including that the primary efficacy endpoint in the ITT population did not achieve statistical significance. We believe that the totality of clinical data from ACT DMD and our prior Phase 2b trial support the clinical benefit of Translarna for the treatment of nmDMD.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We recently submitted our analyses of the ACT DMD data and meta-analysis of the combined ACT DMD and Phase 2b subgroup data to the FDA, as part of our NDA, and the EMA, in connection with our marketing authorization in the EEA, which is subject to annual review and renewal by the European Commission following reassessment by the EMA of the risk benefit balance of the authorization. We also intend to use these analyses to support our applications for marketing authorization for Translarna for the treatment of nmDMD in other territories.</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February 22, 2016, we received a Refuse to File letter from the FDA stating that, in the view of the FDA, both the Phase 2b and Phase 3 ACT DMD trials were negative and do not provide substantial evidence of effectiveness. Additionally, the FDA stated that we had proposed a post-hoc adjustment of ACT DMD that eliminates data from a majority of enrolled patients. In addition, the FDA noted that our NDA does not contain adequate information regarding the abuse potential of Translarna. Until we are able to meet with the FDA to obtain further clarity on the matters set forth in its letter, we are unable to fully assess our potential path forward for Translarna for the treatment of nmDMD in the United States, including whether we will submit a new or revised NDA and the agency's willingness to review, and the outcome of, any such submission. As a result, we are unable to estimate the timing or potential for a launch of Translarna for the treatment of nmDMD in the United States. There is substantial risk that, notwithstanding any further dialogue we may be able to initiate with the agency, the FDA will continue to disagree with our interpretation of our trial results and we may be required to perform additional clinical and non-clinical trials at significant cost, which, if successful may enable FDA review of an NDA submission. Any such requirement for additional trials would most likely result in our inability to sell Translarna in the United States for a significant period of time, which would have a material adverse effect on our ability to generate revenue from the sales of Translarna for the treatment of nmDMD. See "Item 1. Business—Marketing authorization matters for Translarna in nonsense mutation Duchenne muscular dystrophy—United States" for additional information with respect to our history of interactions with the FDA with respect to Translarna for the treatment of nmDMD.</w:t>
      </w:r>
    </w:p>
    <w:p>
      <w:pPr>
        <w:spacing w:after="0" w:line="17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there is substantial risk that in addition to the FDA, other regulators, including the EMA, will not agree with our interpretation of the results of ACT DMD and the totality of clinical data from our trials in Translarna for the treatment of nmDMD, which would have a material adverse effect on our ability to generate revenue from the sales of Translarna for the treatment of nmDMD. An inability to generate such revenue would have a material adverse effect on our business, financial performance and results of operations.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information, see "Item 1A. Risk Factors Risks Related to Regulatory Approval of our Product and our Product Candidates.</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We depend heavily on the success of our lead product, Translarna, which we are developing for nmDMD, nmCF, and other indications. All of our other product candidates, including those under our collaboration with Roche and the SMA Foundation, are still in early clinical or preclinical development. If we are unable to execute our commercial strategy for Translarna for the treatment of nmDMD in the European Economic Area, fail to receive regulatory approval in the United States and other territories, fail to maintain or satisfy the conditions of our marketing authorization in the European Economic Area, or if we experience significant delays in accomplishing such goals, our business will be materially harmed.</w:t>
      </w:r>
    </w:p>
    <w:p>
      <w:pPr>
        <w:spacing w:after="0" w:line="170"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have invested a significant portion of our efforts and financial resources in the development of Translarna for nmDMD and nmCF. Additionally, we are pursuing proof of concept studies for Translarna in additional indications: nmMPS I, nonsense mutation aniridia, and nonsense mutation Dravet syndrome/CDKL5. Our ability to generate product revenues will depend heavily on the successful development and commercialization of Translarna. In August 2014, Translarna was granted marketing authorization in the EEA for the treatment of nmDMD in ambulatory patients aged five years and older, which is subject to annual EMA reassessment and was further conditioned on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submission of the final report, including additional efficacy and safety data, from ACT DMD, which we submitted to the EMA in January 2016. Translarna is still under investigation for the treatment of nmDMD in the United States and has not been approved by the FDA.</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announced the initial results of ACT DMD in October 2015. While the primary efficacy endpoint in the ITT population did not achieve statistical significance, we believe that the totality of clinical data from ACT DMD and our prior Phase 2b trial support the clinical benefit of Translarna for the treatment of nmDMD.</w:t>
      </w:r>
    </w:p>
    <w:p>
      <w:pPr>
        <w:spacing w:after="0" w:line="19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February 22, 2016, we received a Refuse to File letter from the FDA stating that, in the view of the FDA, both the Phase 2b and Phase 3 ACT DMD trials were negative and do not provide substantial evidence of effectiveness and that our NDA does not contain adequate information regarding the abuse potential of Translarna. Additionally, the FDA stated that we had proposed a post-hoc adjustment of ACT DMD that eliminates data from a majority of enrolled patients. Until we are able to meet with the FDA to obtain further clarity on the matters set forth in its letter, we are unable to fully assess our potential path forward for Translarna for the treatment of nmDMD in the United States, including whether we will submit a new or revised NDA and the agency's willingness to review, and the outcome of, any such submission. As a result, we are unable to estimate the timing or potential for a launch of Translarna for the treatment of nmDMD in the United States. There is substantial risk that, notwithstanding any further dialogue we may be able to initiate with the agency, the FDA will continue to disagree with our interpretation of our trial results and we may be required to perform additional clinical and non-clinical trials at significant cost, which, if successful, may enable FDA review of an NDA submission. Any such requirement for additional trials would most likely result in our inability to sell Translarna in the United States for a significant period of time, which would have a material adverse effect on our ability to generate revenue from the sales of Translarna for the treatment of nmDMD. In addition, there is substantial risk that in addition to the FDA, other regulators, including the EMA, will not agree with our interpretation of the results of ACT DMD and the totality of clinical data from our trials in Translarna for the treatment of nmDMD, which would have a material adverse effect on our ability to generate revenue from the sales of Translarna for the treatment of nmDMD. An inability to generate such revenue would have a material adverse effect on our business, financial performance and results of operations.</w:t>
      </w:r>
    </w:p>
    <w:p>
      <w:pPr>
        <w:spacing w:after="0" w:line="18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do not successfully maintain our marketing authorization and commercialize Translarna in the EEA, or receive regulatory approval in the United States for Translarna for the treatment of nmDMD and subsequently successfully commercialize Translarna in the United States, our ability to generate additional revenue will be jeopardized and, consequently, our business will be materially harmed.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success of Translarna will depend on a number of additional factors, including the following:</w:t>
      </w:r>
    </w:p>
    <w:p>
      <w:pPr>
        <w:spacing w:after="0" w:line="239" w:lineRule="exact"/>
        <w:rPr>
          <w:sz w:val="20"/>
          <w:szCs w:val="20"/>
          <w:color w:val="auto"/>
        </w:rPr>
      </w:pPr>
    </w:p>
    <w:p>
      <w:pPr>
        <w:ind w:left="1080" w:right="9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EMA and other regulators agree with our interpretation of the results of ACT DMD, and the timelines within which such determinations are made;</w:t>
      </w:r>
    </w:p>
    <w:p>
      <w:pPr>
        <w:spacing w:after="0" w:line="21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and within what timeframe, we are able to resolve the matters set forth in the Refuse to File letter we received from the FDA in connection with our NDA for Translarna for the treatment of nmDMD, including whether we will be required to complete any additional clinical and non-clinical trials or analyses to enable FDA review of an NDA submission by us;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completion of our confirmatory Phase 3 ACT CF clinical trial of Translarna;</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advance our submitted request for a marketing authorization variation with the EMA to seek inclusion of Translarna for the treatment of nmCF;</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successful advancement of Translarna in additional indications, in particular, nmMPS I, nonsense mutation aniridia, and nonsense mutation Dravet syndrome/CDKL5;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establishment of an expanded international commercial infrastructure capable of supporting product sales, marketing and distribution of Translarna;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implementing marketing and distribution relationships with third parties in territories where we do not pursue direct commercialization;</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maintenance of, and satisfaction of the conditions and ongoing requirements under, the marketing authorization of Translarna for the treatment of nmDMD in the European Economic Area;</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early access programs for Translarna for the treatment of nmDMD on adequate terms;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and when we obtain marketing authorization of Translarna in additional territories and for additional or expanded indications;</w:t>
      </w:r>
    </w:p>
    <w:p>
      <w:pPr>
        <w:spacing w:after="0" w:line="261"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negotiation of adequate pricing and reimbursement terms for Translarna on a timely basis, or at all, in the countries which require such negotiation and in which we obtain regulatory approval;</w:t>
      </w:r>
    </w:p>
    <w:p>
      <w:pPr>
        <w:spacing w:after="0" w:line="199" w:lineRule="exact"/>
        <w:rPr>
          <w:rFonts w:ascii="Arial" w:cs="Arial" w:eastAsia="Arial" w:hAnsi="Arial"/>
          <w:sz w:val="18"/>
          <w:szCs w:val="18"/>
          <w:color w:val="auto"/>
        </w:rPr>
      </w:pPr>
    </w:p>
    <w:p>
      <w:pPr>
        <w:ind w:left="1080" w:right="480" w:hanging="532"/>
        <w:spacing w:after="0" w:line="256"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patients and healthcare professionals may be able to access Translarna through alternative means if pricing and reimbursement negotiations in the applicable territory do not have a positive outcome, including whether Translarna may be accessed through a reimbursed importation pathway provided under German law and whether such pathway will minimize any access issues for German patients while maintaining a sustainable price;</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scope of commercial launches of Translarna in nmDMD;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commercial manufacturing arrangements with third party manufacturers;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third-party manufacturers to successfully produce commercial and clinical supplies of Translarna on a timely basis sufficient to meet the needs of our commercial and clinical activities;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identification of eligible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Translarna in nmDMD by patients, the medical community and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continued acceptable safety profile of Translarna;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continue to commercialize Translarna, which would materially harm our business.</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The marketing authorization granted by the European Commission for Translarna for the treatment of nmDMD is subject to the satisfaction of specific conditions and is limited to ambulatory patients aged five years and older located in the European Economic Area, which significantly limits an already small treatable patient population, reduces our commercial opportunities, is subject to annual reassessment of the risk-benefit balance by the EMA and other requirements, and may be varied, suspended or withdrawn by the European Commission if we fail to satisfy those requirements.</w:t>
      </w:r>
    </w:p>
    <w:p>
      <w:pPr>
        <w:spacing w:after="0" w:line="16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obtained orphan drug designations from the EMA and from the FDA for Translarna for the treatment of nmDMD because the number of patients who could benefit from treatment with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Translarna is small. The marketing label approved by the European Commission further limits the currently treatable patient population to ambulatory nmDMD patients aged five years and older who have been identified through genetic testing. Overall, we estimate that the potential opportunity for a treatment for nonsense mutation DMD is approximately 7,000 patients worldwide including approximately 2,000 patients in the United States and approximately 5,000 patients outside of the United States, including the European Union, Latin America, Japan and Australia. We estimate that approximately 40% of nmDMD patients are ambulatory and at least five years old. Our estimates of both the number of people who have DMD caused by a nonsense mutation, as well as the subset of people with nmDMD who are ambulatory and at least five years old, are based on our beliefs and estimates derived from a variety of sources and may prove to be incorrect. Information concerning the eligible patient population is generally limited to certain geographies and may not employ definitive measures capable of establishing with precision the actual number of nmDMD patients in such geography. If the market opportunities for Translarna for the treatment of nmDMD are smaller than we believe they are, our business and anticipated revenues will be negatively impacted. Although we intend to seek to expand the approved product label of Translarna for the treatment of nmDMD in the future, the timing of, and our ability to generate, the necessary data or results required to obtain expanded regulatory approval is currently uncertain. Given the small number of patients who have nmDMD, and the smaller number of patients who meet the criteria for treatment under our current marketing authorization, our commercial opportunity is limited. It is critical to the commercial success of Translarna for nmDMD that we successfully identify and treat these patients.</w:t>
      </w:r>
    </w:p>
    <w:p>
      <w:pPr>
        <w:spacing w:after="0" w:line="175"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In addition, the marketing authorization granted by the European Commission is subject to annual review and renewal by the European Commission following reassessment by the EMA of the risk benefit balance of the authorization, and was further conditioned on our submission of the final report, including additional efficacy and safety data, from ACT DMD, which we submitted in January 2016, and our ability to implement measures, including pharmacovigilance plans, that are detailed in the risk management plan. We received EC approval of the annual renewal in August 2015. We plan to seek to renew the marketing authorization on an annual basis until we have satisfied the conditions of the marketing authorization and a full marketing authorization is granted. If we fail to satisfy such requirements, or if it is determined that the balance of risks and benefits of using Translarna changes materially, the European Commission could, at the EMA's recommendation, vary, suspend, withdraw or refuse to renew the marketing authorization for Translarna or require additional clinical trials, any of which would negatively impact our anticipated revenue from Translarna and materially harm our business. See "Risk Factors—Risks Related to Regulatory Approval of our Product and our Product Candidates" for further detail regarding the annual EMA reassessment process, including a description of the risk benefit balance.</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If clinical trials of our product or product candidates, such as our confirmatory Phase 3 clinical trials of Translarna, fail to demonstrate safety and efficacy to the satisfaction of the EMA, the FDA or other regulators, or do not otherwise produce favorable results, we may experience delays in completing, or ultimately be unable to complete, the development and commercialization of Translarna or any other product candidate.</w:t>
      </w:r>
    </w:p>
    <w:p>
      <w:pPr>
        <w:spacing w:after="0" w:line="161"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connection with seeking marketing authorization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have believed their product candidates performed satisfactorily in preclinical studies and clinical trials have nonetheless failed to obtain marketing authorization of their products.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primary efficacy endpoint in the ITT population did not achieve statistical significance in the Phase 2b (completed in 2009) or Phase 3 ACT DMD (completed in 2015) clinical trials of Translarna for the treatment of nmDMD. Although we believe that the collective data from these trials provide strong support for concluding that Translarna was active and showed clinically meaningful improvements over placebo in these trials, on February 22, 2016, we received a Refuse to File letter from the FDA regarding our NDA for Translarna for the treatment of nmDMD. The FDA stated in the Refuse to File letter that our NDA was not sufficiently complete to permit a substantive review. Specifically, we were notified in the letter that, in the view of the FDA, both the Phase 2b and Phase 3 ACT DMD trials were negative and do not provide substantial evidence of effectiveness. Additionally, the FDA stated that we had proposed a post-hoc adjustment of ACT DMD that eliminates data from a majority of enrolled patients. In addition, the FDA noted that our NDA does not contain adequate information regarding the abuse potential of Translarna.</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There is substantial risk that, notwithstanding any further dialogue we may be able to initiate with the agency, the FDA will continue to disagree with our interpretation of our trial results and we may be required to perform additional clinical and non-clinical trials at significant cost, which, if successful, may enable FDA review of an NDA submission, which would have a material adverse effect on our business, financial performance and results of operations. Any such requirement for additional trials would also most likely result in our inability to sell Translarna in the United States for a significant period of time. In addition, there is substantial risk that regulators in other territories, including the EMA, will not agree with our interpretation of the results of ACT DMD and the totality of clinical data from our trials, and may require us to conduct additional clinical trials at significant cost.</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Further, the marketing authorization granted by the European Commission for Translarna for the treatment of nmDMD in ambulatory patients age five years and older is subject to an annual reassessment by the EMA and was further conditioned, among other things, on our submission of the final report from ACT DMD, which we submitted in January 2016. If the EMA does not view the results of ACT DMD as favorable, if we fail to satisfy the conditions of the marketing authorization, or if the EMA's assessment of the balance of risks and benefits of using Translarna changes materially (whether because the primary efficacy endpoint in the ITT population did not achieve statistical significance in the clinical trials described above or for other reasons), the European Commission could, at the EMA's recommendation, vary, suspend, withdraw or refuse to renew the marketing authorization for Translarna or require additional clinical trials. See "Risk Factors—Risks Related to Regulatory Approval of our Product and our Product Candidates" for further detail regarding the annual EMA reassessment process, including a description of the risk benefit balance. We also sell Translarna under reimbursed early access programs in a limited number of countries and there is no assurance that such sales will continue to be permitted in any particular country. If any of these events were to occur, they would negatively impact our anticipated revenue from Translarna and would materially harm our business, financial condition and results of operations.</w:t>
      </w:r>
    </w:p>
    <w:p>
      <w:pPr>
        <w:spacing w:after="0" w:line="17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the primary efficacy endpoint in the ITT population did not achieve statistical significance in our prior Phase 3 clinical trial of Translarna for the treatment of nmCF (completed in 2011) and did not achieve the primary objective in one of four prior Phase 2 clinical trials that we conducted for Translarna for the treatment of nmCF in which we measured change in chloride conductance in nasal cells over the course of treatment. We may similarly fail to achieve the primary efficacy endpoint in ACT CF, our confirmatory Phase 3 clinical trial of Translarna. If the results of ACT CF are not favorable, or fail to demonstrate safety and efficacy to the satisfaction of the FDA, the EMA or other regulators, we may need to conduct additional clinical trials at significant cost or altogether abandon development of Translarna for nmCF.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the FDA, the EMA and other regulators do not agree with our interpretation of the results of the clinical data from our trials (including ACT DMD and related analyses); if we are required to conduct additional clinical trials or other testing of Translarna or any other product candidate that we develop beyond those that we contemplate; if we are unable to successfully complete our clinical trials or other testing; if the results of these trials or tests are not positive or are only modestly positive; or if there are safety concerns, we may:</w:t>
      </w:r>
    </w:p>
    <w:p>
      <w:pPr>
        <w:spacing w:after="0" w:line="21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be unable to successfully maintain or renew our current marketing authorization in the EEA for Translarna for the treatment of nmDMD;</w:t>
      </w:r>
    </w:p>
    <w:p>
      <w:pPr>
        <w:spacing w:after="0" w:line="275"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additional marketing authorizations for Translarna for the treatment of nmDMD, for Translarna for the treatment of other indications or for our other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additional marketing authorizations at all;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 restrictions;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product removed from markets after obtaining applicable marketing authorizations.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If we or our collaborators experience any of a number of possible unforeseen events in connection with clinical trials related to our product or product candidates, including those under our collaboration with Roche and the SMA Foundation, potential marketing authorization or commercialization of our product or product candidates could be delayed or prevented.</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or our collaborators may experience numerous unforeseen events during, or as a result of, clinical trials that could delay or prevent our ability to receive marketing authorization or commercialize our product or product candidates, including:</w:t>
      </w:r>
    </w:p>
    <w:p>
      <w:pPr>
        <w:spacing w:after="0" w:line="213" w:lineRule="exact"/>
        <w:rPr>
          <w:sz w:val="20"/>
          <w:szCs w:val="20"/>
          <w:color w:val="auto"/>
        </w:rPr>
      </w:pPr>
    </w:p>
    <w:p>
      <w:pPr>
        <w:ind w:left="1080" w:right="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or product candidates may produce negative or inconclusive results, and we may decide, or regulators may require us, to conduct additional clinical trials or abandon product development programs;</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enroll a sufficient number of patients in our trials to ensure adequate statistical power to detect any statistically significant treatment effects;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261"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institutional review boards or independent ethics committees may not authorize us or our investigators to commence a clinical trial or conduct a clinical trial at a prospective trial site or may require us to submit additional data, conduct additional studies or amend our IND or comparable application prior to commencing a clinical trial;</w:t>
      </w:r>
    </w:p>
    <w:p>
      <w:pPr>
        <w:spacing w:after="0" w:line="207"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delays in reaching or fail to reach agreement on acceptable clinical trial contracts or clinical trial protocols with prospective trial sites;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or product candidates for various reasons, including a finding that the participants are being exposed to unacceptable health risks;</w:t>
      </w:r>
    </w:p>
    <w:p>
      <w:pPr>
        <w:spacing w:after="0" w:line="212"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institutional review boards or independent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product or product candidates may be greater than we anticipate;</w:t>
      </w:r>
    </w:p>
    <w:p>
      <w:pPr>
        <w:spacing w:after="0" w:line="238"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product or product candidates or other materials necessary to conduct clinical trials of our product or product candidates may be insufficient or inadequate; or</w:t>
      </w:r>
    </w:p>
    <w:p>
      <w:pPr>
        <w:spacing w:after="0" w:line="212" w:lineRule="exact"/>
        <w:rPr>
          <w:rFonts w:ascii="Arial" w:cs="Arial" w:eastAsia="Arial" w:hAnsi="Arial"/>
          <w:sz w:val="18"/>
          <w:szCs w:val="18"/>
          <w:color w:val="auto"/>
        </w:rPr>
      </w:pPr>
    </w:p>
    <w:p>
      <w:pPr>
        <w:ind w:left="1080" w:right="78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product or product candidates may have undesirable side effects or other unexpected characteristics, causing us or our investigators, regulators, institutional review boards or independent ethics committees to suspend or terminate the trials.</w:t>
      </w:r>
    </w:p>
    <w:p>
      <w:pPr>
        <w:spacing w:after="0" w:line="139"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For example, in the first half of 2015, dosing in the Phase 2 Moonfish study under our SMA collaboration was suspended and the study was placed on clinical hold to investigate an eye finding in a 39-week study in cynomolgus monkeys, which showed at exposures above those explored in SMA patients and healthy volunteers. In January 2016, a Phase 1 study in healthy volunteers was initiated to investigate the safety, tolerability, pharmacokinetics and pharmacodynamics of an additional product candidate under the SMA collaboration. While we and our collaboration partners intend to compare the profiles of each of these development compounds to determine the best path forward for the SMA program, this development has resulted in unanticipated delays in the advancement of the SMA program. In addition, we and our collaboration partners may need to perform additional studies, conduct further analyses, narrow the scope of the study, or take other actions to continue to advance the SMA program and the re-initiation of the Phase 2 Moonfish study may be delayed, abandoned or not allowed.</w:t>
      </w:r>
    </w:p>
    <w:p>
      <w:pPr>
        <w:spacing w:after="0" w:line="199"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based on pre-clinical safety signals observed during the third quarter of 2015, we are no longer advancing PTC672 under our antibacterial program. Our product development costs will increase if we experience delays in testing or marketing authorizations.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or product candidates, allow our competitors to bring products to market before we do, or impair our ability to successfully commercialize our product or product candidates, and so may harm our business and results of operations.</w:t>
      </w:r>
    </w:p>
    <w:p>
      <w:pPr>
        <w:spacing w:after="0" w:line="19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Our conclusions regarding the activity and potential efficacy of Translarna in nmDMD are primarily based on pre-specified meta-analysis and subgroup analyses of ACT DMD data and retrospective analyses of the results of our Phase 2b clinical trial of Translarna for the treatment of nmDMD. In addition, our conclusions regarding the activity and potential efficacy of Translarna in nmCF are primarily based on retrospective analyses of the results of our completed Phase 3 clinical trial of Translarna for nmCF. Other than pre-specified meta-analyses, results of our analyses are expressed as nominal p-values, which are generally considered less reliable indicators of efficacy than adjusted p-values. In addition, retrospective analyses are generally considered less reliable than pre-specified analyses.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October 2015, we announced the initial results of ACT DMD, including that the primary efficacy endpoint in the ITT population did not achieve statistical significance. However, consistent with the statistical analysis plan we submitted to the FDA for ACT DMD, we performed pre-specified subgroup analyses as well as pre-specified meta-analysis of ACT DMD data and data from the Phase 2b ambulatory decline phase subgroup. We believe that the results of these pre-specified analyses demonstrate that Translarna provides a meaningful clinical benefit for the treatment of nonsense mutation DMD.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meta-analysis results, which favored Translarna in the 6MWT and each secondary end point timed function test, are considered statistically significant. Typically, a trial result is statistically significant if the chance of it occurring when the treatment is like placebo is less than one in 20, resulting in a p-value of less than 0.05. The p-values for the 6MWT and each secondary end point timed function test in the pre-specified subgroup of ACT DMD patients with a baseline 300-400 meter 6MWD also had p-values of less than 0.05, but due to the sequential testing method, these p-values are considered nominal. Nominal p-values cannot be compared to the typical significance level (p-value less than 0.05) to determine statistical significance without being adjusted for the testing of multiple dose groups, end points or analyses of subgroups. A p-value is called nominal if it is the result of one particular comparison prior to any pre-specified multiplicity adjustment, such as when two active treatments are compared to placebo or when two or more subgroups are analyzed.</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addition, after determining that the primary efficacy endpoint did not achieve statistical significance in our completed Phase 2b clinical trial of Translarna for the treatment of nmDMD and in our completed Phase 3 clinical trial of Translarna for nmCF, we performed retrospective and subgroup analyses that we believe provide strong support for concluding that Translarna was active and showed clinically meaningful improvements over placebo in these trials. Although we believe that these additional analyses of the results of these trials were warranted, a retrospective analysis performed after unblinding trial results can result in the introduction of bias if the analysis is inappropriately tailored or influenced by knowledge of the data and actual results. Some of our favorable statistical data from these trials also are based on nominal p-values that reflect only one particular comparison when more than one comparison is possible.</w:t>
      </w:r>
    </w:p>
    <w:p>
      <w:pPr>
        <w:spacing w:after="0" w:line="17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Because of these limitations, regulatory authorities typically give greater weight to results from pre-specified analyses and adjusted p-values and less weight to results from post-hoc, retrospective analyses and nominal p-values.</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On February 22, 2016, we received a Refuse to File letter from the FDA stating that, in the view of the FDA, both the Phase 2b and Phase 3 ACT DMD trials were negative and do not provide substantial evidence of effectiveness and that our NDA does not contain adequate information regarding the abuse potential of Translarna. Additionally, the FDA stated that we had proposed a post-hoc adjustment of ACT DMD that eliminates data from a majority of enrolled patients. Our reliance on nominal p-values for some of our statistical data and our use of retrospective analyses had a negative impact on the FDA's view of our interpretation of the results of our Phase 2b trial, ACT DMD and the totality of data from our clinical trials. We need further discussion with FDA to understand their current perspective on our subgroup analysis. There is substantial risk that, notwithstanding any further dialogue we may be able to initiate with the agency, the FDA will continue to disagree with our interpretation of our trial results and we may be required to perform additional clinical and non-clinical trials at significant cost, which, if successful, may enable FDA review of an NDA submission.</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reliance on nominal p-values for some of our statistical data and our use of retrospective analyses could also have a negative impact on whether the EMA and other regulators agree with our interpretation of the results of ACT DMD and the timelines within which such determinations are made. In addition, it diminishes the likelihood that the EMA will approve our request of a variation to our marketing authorization for Translarna to include Translarna for nmCF on a conditional basis, could negatively impact the evaluation by the EMA of our applications for full marketing authorization for Translarna for nmDMD as well as the annual EMA reassessment process of our current marketing authorization, and, even if we successfully complete ACT CF, could negatively impact the evaluation by the EMA or the FDA of our anticipated applications for full marketing authorization for Translarna for nmCF. If any of these events were to occur, they would negatively impact our anticipated revenue from Translarna and would materially harm our business, financial results and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results of ACT DMD and, even if successfully completed, the results of ACT CF, may not be sufficient for approval of Translarna for the applicable indication.</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February 22, 2016, we received a Refuse to File letter from the FDA stating that, in the view of the FDA, both the Phase 2b and Phase 3 ACT DMD trials were negative and do not provide substantial evidence of effectiveness and that our NDA does not contain adequate information regarding the abuse potential of Translarna. Additionally, the FDA stated that we had proposed a post-hoc adjustment of ACT DMD that eliminates data from a majority of enrolled patients. There is substantial risk that, notwithstanding any further dialogue we may be able to initiate with the agency, the FDA will continue to disagree with our interpretation of our trial results and we may be required to perform additional clinical and non-clinical trials at significant cost, which, if successful, may enable FDA review of an NDA submission, which would have a material adverse effect on our business, financial performance and results of operations. In addition, there is substantial risk that in addition to the FDA, other regulators, including the EMA, will not agree with our interpretation of the results of ACT DMD and the totality of clinical data from our trials in Translarna for the treatment of nmDMD.</w:t>
      </w:r>
    </w:p>
    <w:p>
      <w:pPr>
        <w:spacing w:after="0" w:line="172"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Further, it is possible that, once completed and even if successful, the EMA or the FDA may not consider the results of ACT CF to be sufficient for approval of Translarna for such indication. The FDA typically requires two adequate and well-controlled pivotal clinical trials to support marketing authorization of a product candidate for a particular indication. The EMA or the FDA could determine that the results of our trials are not sufficiently robust, are subject to confounding factors or are not adequately supported by other trial endpoints. In addition, although we have had discussions with the FDA regarding ACT CF, the FDA may not consider our proposed trial design acceptable. For example, in 2012, the FDA indicated that in its view the data from our completed Phase 3 clinical trial and other data from our development program in cystic fibrosis do not by themselves support an NDA submission and, consequently, the FDA informed us that additional clinical data would be required to establish the evidence necessary to support eventual filing of an NDA for the use of Translarna to treat nmCF.</w:t>
      </w:r>
    </w:p>
    <w:p>
      <w:pPr>
        <w:spacing w:after="0" w:line="199" w:lineRule="exact"/>
        <w:rPr>
          <w:sz w:val="20"/>
          <w:szCs w:val="20"/>
          <w:color w:val="auto"/>
        </w:rPr>
      </w:pPr>
    </w:p>
    <w:p>
      <w:pPr>
        <w:ind w:right="160" w:firstLine="348"/>
        <w:spacing w:after="0" w:line="237" w:lineRule="auto"/>
        <w:rPr>
          <w:sz w:val="20"/>
          <w:szCs w:val="20"/>
          <w:color w:val="auto"/>
        </w:rPr>
      </w:pPr>
      <w:r>
        <w:rPr>
          <w:rFonts w:ascii="Arial" w:cs="Arial" w:eastAsia="Arial" w:hAnsi="Arial"/>
          <w:sz w:val="17"/>
          <w:szCs w:val="17"/>
          <w:color w:val="auto"/>
        </w:rPr>
        <w:t>We had additional interactions with the FDA in 2013 regarding the clinical development design which would have the potential to support an NDA, but we did not achieve a consensus between the EMA and FDA views. While we have incorporated feedback from the FDA into our ACT CF trial design, we believe that certain key recommendations from the FDA are not appropriate. Two of the key recommendations that we are in disagreement with are the designation of FEV</w:t>
      </w:r>
      <w:r>
        <w:rPr>
          <w:rFonts w:ascii="Arial" w:cs="Arial" w:eastAsia="Arial" w:hAnsi="Arial"/>
          <w:sz w:val="28"/>
          <w:szCs w:val="28"/>
          <w:color w:val="auto"/>
          <w:vertAlign w:val="subscript"/>
        </w:rPr>
        <w:t>1</w:t>
      </w:r>
      <w:r>
        <w:rPr>
          <w:rFonts w:ascii="Arial" w:cs="Arial" w:eastAsia="Arial" w:hAnsi="Arial"/>
          <w:sz w:val="17"/>
          <w:szCs w:val="17"/>
          <w:color w:val="auto"/>
        </w:rPr>
        <w:t>, CF pulmonary exacerbations, and body mass index as three co-primary endpoints for the trial and a suggested three-year trial duration. FEV</w:t>
      </w:r>
      <w:r>
        <w:rPr>
          <w:rFonts w:ascii="Arial" w:cs="Arial" w:eastAsia="Arial" w:hAnsi="Arial"/>
          <w:sz w:val="28"/>
          <w:szCs w:val="28"/>
          <w:color w:val="auto"/>
          <w:vertAlign w:val="subscript"/>
        </w:rPr>
        <w:t>1</w:t>
      </w:r>
      <w:r>
        <w:rPr>
          <w:rFonts w:ascii="Arial" w:cs="Arial" w:eastAsia="Arial" w:hAnsi="Arial"/>
          <w:sz w:val="17"/>
          <w:szCs w:val="17"/>
          <w:color w:val="auto"/>
        </w:rPr>
        <w:t xml:space="preserve"> is the primary endpoint in ACT CF, with CF pulmonary exacerbations and body mass index as secondary endpoints, which is consistent with other clinical trials currently ongoing in cystic fibrosis and our earlier discussions with the FDA. Additionally, we believe that extending the study duration to three years would result in a number of complications that would ultimately limit the robustness of the data and conclusions that could be drawn from the results. Based on these interactions, we nonetheless initiated ACT CF in the first half of 2014 consistent with feedback from the EMA on our trial design. If the FDA does not consider our trial designs acceptable, we may need to conduct more than one confirmatory clinical trial and our ability to receive marketing authorization for this indication could be delayed or prevented.</w:t>
      </w:r>
    </w:p>
    <w:p>
      <w:pPr>
        <w:spacing w:after="0" w:line="210"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Because we are developing our product and our product candidates for the treatment of diseases in which there is little clinical experience and, in some cases, using new endpoints or methodologies, there is increased risk that the outcome of our clinical trials will not be favorable.</w:t>
      </w:r>
    </w:p>
    <w:p>
      <w:pPr>
        <w:spacing w:after="0" w:line="139"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There are no marketed therapies approved to treat the underlying cause of nmDMD or nmCF. In addition, there has been limited historical clinical trial experience generally for the development of drugs to treat either of these diseases. As a result, the design and conduct of clinical trials for these diseases, particularly for drugs to address the underlying nonsense mutations causing these diseases in some subsets of patients, is subject to increased risk.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Prior to the Phase 2b clinical trial of Translarna for nmDMD, there was no precedent of an established trial design to evaluate the efficacy of Translarna in nmDMD over a 48 week duration. In addition, clinical understanding of the methodologies used to analyze the resulting data were also limited. The study design and enrollment criteria for ACT DMD were based on available natural history data of the disease, including third party data and results from our Phase 2b clinical trial. An evolving understanding in the DMD community has led to a greater appreciation of the optimal window for the 6MWT in assessing physical function. We believe that this factor may have led to the primary efficacy endpoint in the intent to treat population not achieving statistical significance in ACT DMD.</w:t>
      </w:r>
    </w:p>
    <w:p>
      <w:pPr>
        <w:spacing w:after="0" w:line="170"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With regard to nmCF, we believe that we now understand subgroup effects that we observed in our completed Phase 3 clinical trial and that we have designed our confirmatory Phase 3 ACT CF clinical trial of Translarna to take these effects into account. However, we may nonetheless experience unknown complications with ACT CF. As a result, we may not achieve the pre-specified endpoint with statistical significance in ACT CF, which would make approval of Translarna for this indication significantly more difficult to obtain.</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faced with similar challenges in connection with the design of our Phase 2 proof-of-concept studies of Translarna in nmMPS I, nonsense mutation aniridia, and nonsense mutation Dravet syndrome/CDKL5 because there is also limited historical clinical trial experience for the development of drugs to treat the underlying cause of these disorders.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For example, with respect to nmMPS I, while clinical trials of enzyme replacement therapies conducted by third party sponsors have provided some insight into the disorder, enzyme replacement therapies do not sufficiently address the central nervous system, skeletal or cardiac symptoms associated with the disorder. In addition, our own pre-clinical and early stage clinical trials targeting nmMPS I have been limited in duration and, as a result, it is substantially uncertain whether our clinical design will optimize the duration or level of dosing or that we will be able to demonstrate a statistically significant biochemical or clinical effect in the primary or secondary pre-specified endpoints selected for the study.</w:t>
      </w:r>
    </w:p>
    <w:p>
      <w:pPr>
        <w:spacing w:after="0" w:line="17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our clinical trials, our receipt of necessary regulatory approvals could be delayed or prevented.</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not be able to initiate or continue clinical trials for our product candidates, including our confirmatory Phase 3 ACT CF clinical trial of Translarna or our Phase 2 proof-of-concept studies of Translarna in nmMPS I, nonsense mutation aniridia, or nonsense mutation Dravet syndrome/CDKL5, if we are unable to locate and enroll a sufficient number of eligible patients to participate in these trials. For example, nmCF, nmMPS I, nonsense mutation aniridia, and nonsense mutation Dravet syndrome/CDKL5 are characterized by relatively small patient populations, which could result in slow enrollment of clinical trial participants. In addition, our competitors have ongoing clinical trials for product candidates that could be competitive with our product candidates. As a result, potential clinical trial sites may elect to dedicate their limited resources to participation in our competitors' clinical trials and not ours, and patients who would otherwise be eligible for our clinical trials may instead enroll in clinical trials of our competitors' product candidates.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Enrollment delays in our clinical trials may result in increased development costs for our product candidates. Our inability to enroll a sufficient number of patients in our confirmatory Phase 3 clinical trial of Translarna in nmCF or our Phase 2 proof-of-concept studies of Translarna in nmMPS I, nonsense mutation aniridia, and nonsense mutation Dravet syndrome/CDKL5 or any of our other clinical trials would result in significant delays or may require us to abandon one or more clinical trials altogether.</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For example, during the first quarter of 2015, we amended the study design for our proof-of-concept study for Translarna for the treatment of nmMPS I to include patients currently on enzyme replacement therapy. We anticipated that this change in protocol might cause delays in patient enrollment, but expected that the larger addressable patient population would reduce the time to enroll the overall study. However, this protocol revision resulted in delays to site initiation and patient accrual, which in turn has delayed our expectations with respect to the timing of data from this study.</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serious adverse or inappropriate side effects are identified during the development of Translarna or any other product candidate, we may need to abandon or limit our development of that product or product candidate.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product and our product candidates are in clinical or preclinical development and their risk of failure is high. It is impossible to predict when or if any of our product candidates will prove effective or safe in humans or will receive regulatory approval. If our product or product candidates are associated with undesirable side effects or have characteristics that are unexpected, we may need to abandon their development or limit development to certain uses or subpopulations in which the undesirable side effects or other characteristics are less prevalent, less severe or more acceptable from a risk benefit perspective. Many compounds that initially showed promise in clinical or earlier stage testing have later been found to cause side effects that prevented further development of the compound.</w:t>
      </w:r>
    </w:p>
    <w:p>
      <w:pPr>
        <w:spacing w:after="0" w:line="19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For example, although we did not observe a pattern of liver enzyme elevations in our Phase 2 or Phase 3 clinical trials of Translarna, we did observe modest elevations of liver enzymes in some subjects in one of our Phase 1 clinical trials. These elevated enzyme levels did not require cessation of Translarna administration, and enzyme levels typically normalized after completion of the treatment phase. We did not observe any increases in bilirubin, which can be associated with serious harm to the liver, in the Phase 1 clinical trial.</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addition, in our completed Phase 3 clinical trial of Translarna for the treatment of nmCF, five adverse events in the Translarna arm of the trial that involved the renal system led to discontinuation. As compared to the placebo group, the Translarna treatment arm also had a higher incidence of adverse events of creatinine elevations, which can be an indication of impaired kidney function. In the Translarna treatment arm, more severe clinically meaningful creatinine elevations were reported in conjunction with cystic fibrosis pulmonary exacerbations. These creatinine elevations were associated with concomitant treatment with antibiotics associated with impaired kidney functions, such as aminoglycosides or vancomycin. This led to the subsequent prohibition of concomitant use of Translarna and these antibiotics, which was successful in addressing this issue in the clinical trial. If patients in the Translarna arm of a confirmatory Phase 3 clinical trial for the treatment of nmCF exhibit clinically meaningful creatinine elevations, the EMA or the FDA might not approve Translarna for this indication or could require that we instruct physicians to frequently monitor patients for these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abnormalities or impose other conditions, which may be an impediment to the use of Translarna because of concerns related to its safety and convenience.</w:t>
      </w:r>
    </w:p>
    <w:p>
      <w:pPr>
        <w:spacing w:after="0" w:line="24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focus on the discovery and development of product candidates that target post-transcriptional control processes is unproven, and we do not know whether we will be able to develop products of any, or sustained, commercial value.</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scientific approach focuses on the discovery and development of product candidates that target post-transcriptional control processes. While a number of commonly used drugs and a growing body of research validate the importance of post-transcriptional control processes in the origin and progression of a number of diseases, no existing drugs have been specifically designed to alter post-transcriptional control processes in the same manner as Translarna or our other product candidates. As a result, our focus on targeting these processes may not result in the discovery and development of commercially viable drugs that safely and effectively treat genetic disorders or other diseases. In addition, although we have received marketing authorization by the European Commission for Translarna for the treatment of nmDMD, such marketing authorization is subject to annual EMA reassessment. We may not be successful in developing and receiving renewal of our marketing authorization or full regulatory authorization for such use and we may not receive regulatory approval for additional indications for Translarna or any other potentially commercially viable drug that treats an approved indication by targeting a particular post-transcriptional control process. Furthermore, we may not receive regulatory approval for product candidates that target different post-transcriptional control processes. If we fail to develop and commercialize viable drugs, we will not achieve commercial success.</w:t>
      </w:r>
    </w:p>
    <w:p>
      <w:pPr>
        <w:spacing w:after="0" w:line="177"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b w:val="1"/>
          <w:bCs w:val="1"/>
          <w:i w:val="1"/>
          <w:iCs w:val="1"/>
          <w:color w:val="auto"/>
        </w:rPr>
        <w:t>Translarna for the treatment of nmDMD, or any other product candidate that receives marketing authorization, if any, may fail to achieve the degree of market acceptance by physicians, patients, third party payors and others in the medical community necessary for commercial success.</w:t>
      </w:r>
    </w:p>
    <w:p>
      <w:pPr>
        <w:spacing w:after="0" w:line="11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Translarna is currently authorized by the EMA for marketing for the treatment of nmDMD, Translarna and any of our other product candidates that may receive marketing authorization may nonetheless fail to gain sufficient market acceptance by physicians, patients, third party payors and others in the medical community. If these products do not achieve an adequate level of acceptance, we may not generate significant product revenues or any profits from operations. The degree of market acceptance of our product or product candidates, if approved for commercial sale, will depend on a number of factors, including:</w:t>
      </w:r>
    </w:p>
    <w:p>
      <w:pPr>
        <w:spacing w:after="0" w:line="21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offer our product or product candidates for sale at competitive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restrictions on concomitant use of other medications, such as a restriction that nmCF patients taking Translarna not also use chronic inhaled aminoglycoside antibiotics.</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ability to negotiate, secure and maintain third-party coverage and reimbursement may be affected by political, economic and regulatory developments in the United States, the European Union and other jurisdictions. Governments continue to impose cost containment measures, and third-party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payors are increasingly challenging prices charged for medicines and examining their cost effectiveness, in addition to their safety and efficacy. These and other similar developments could significantly limit the degree of market acceptance of Translarna for the treatment of nmDMD or any of our other product candidates that receive marketing authorization.</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or product candidates, we may not be successful in our continuing efforts to commercialize Translarna or commercializing any other product candidate if and when they are approved.</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limited experience in the sale and marketing of pharmaceutical products, and we may be unable to successfully execute our commercial strategy in the EEA or, if approved, in the United States or other territories. Our commercial strategy for Translarna involves the development of a commercial infrastructure that spans multiple jurisdictions. Our ability to successfully commercialize Translarna for the treatment of nmDMD in the EEA and other territories, including the United States, if approved, is heavily dependent upon our ability to continue to build an infrastructure that is capable of implementing our global commercial strategy. International operations are subject to inherent risks. The establishment and development of our commercial infrastructure will continue to be expensive and time consuming, and we may not be able to develop our commercial organizations in all intended territories in a timely manner or at all. Doing so will require a high degree of coordination and compliance with laws and regulations in numerous jurisdictions, including restrictions on advertising practices, enforcement of intellectual property rights, restrictions on pricing or discounts, and unexpected changes in international regulatory requirements and tariffs. If we are unable to effectively coordinate such activities or comply with such laws and regulations, our ability to commercialize Translarna in those jurisdictions in which it is or may be approved will be adversely affected. If we are unable to establish and maintain adequate sales, marketing and distribution capabilities, whether independently or with third parties, we may not be able to generate product revenue consistent with our expectations and may not become profitable.</w:t>
      </w:r>
    </w:p>
    <w:p>
      <w:pPr>
        <w:spacing w:after="0" w:line="18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have evaluated markets outside of the EEA to determine in which geographies we might, if approved, choose to commercialize Translarna ourselves and in which geographies we might choose to collaborate with third parties. We intend to continue to promote Translarna for the treatment of nmDMD in permitted territories using both internal and external resources.</w:t>
      </w:r>
    </w:p>
    <w:p>
      <w:pPr>
        <w:spacing w:after="0" w:line="194"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There are risks involved with establishing our own sales and marketing capabilities and entering into arrangements with third parties to perform these services. For example, recruiting and training an internal commercial team is expensive and time consuming and could delay our commercialization efforts for Translarna for the treatment of nmDMD or any other product launch. If the commercial launch of Translarna or any other product candidate for which we recruit a commercial team and establish marketing capabilities is delayed or does not occur for any reason, we would have prematurely or unnecessarily incurred these commercialization expenses. This may be costly, and our investment would be lost if we cannot retain or reposition such personnel.</w:t>
      </w:r>
    </w:p>
    <w:p>
      <w:pPr>
        <w:spacing w:after="0" w:line="170"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arrangements that we have entered into, or may enter into, with third parties to perform sales and marketing services will generate lower product revenues or profitability of product revenues to us than if we were to market and sell any products that we develop ourselves. In addition, we may not be successful in entering into arrangements with third parties to sell and market our product candidates or may be unable to do so on terms that are favorable to us. We have little control over such third parties, and any of them may fail to devote the necessary resources and attention to sell and market our products effectively.</w:t>
      </w:r>
    </w:p>
    <w:p>
      <w:pPr>
        <w:spacing w:after="0" w:line="15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we do not establish sales and marketing capabilities successfully, either on our own or in collaboration with third parties, we will not be successful in commercializing our product candidates.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may materially affect our efforts to commercialize our products on our own include:</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recruit, train and retain adequate numbers of effective sales and marketing personnel;</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implement third party marketing and distribution relationships on favorable terms, or at all, in territories where we do not pursue direct commercialization;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ability of our commercial team to obtain access to or persuade adequate numbers of physicians to prescribe Translarna or any future products;</w:t>
      </w:r>
    </w:p>
    <w:p>
      <w:pPr>
        <w:spacing w:after="0" w:line="273" w:lineRule="exact"/>
        <w:rPr>
          <w:rFonts w:ascii="Arial" w:cs="Arial" w:eastAsia="Arial" w:hAnsi="Arial"/>
          <w:sz w:val="15"/>
          <w:szCs w:val="15"/>
          <w:color w:val="auto"/>
        </w:rPr>
      </w:pPr>
    </w:p>
    <w:p>
      <w:pPr>
        <w:ind w:left="1080" w:right="1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commercial team, which may put us at a competitive disadvantage relative to companies with more extensive product lines;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plan to develop our commercial strategy for additional indications for Translarna or other product candidates, if and when such drugs are approved in the applicable region.</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All of our sales of Translarna for the treatment of nmDMD currently occur in territories outside of the United States, which subjects us to additional business risks that could adversely affect our revenue and results of operations.</w:t>
      </w:r>
    </w:p>
    <w:p>
      <w:pPr>
        <w:spacing w:after="0" w:line="186"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All of our revenue from sales of Translarna to date has been generated from countries other than the United States. We have operations in multiple European countries and other territories. We expect that we will continue to expand our international operations in the future, including in emerging growth markets pending successful completion of the applicable regulatory processes. International operations inherently subject us to a number of risks and uncertainties, including:</w:t>
      </w:r>
    </w:p>
    <w:p>
      <w:pPr>
        <w:spacing w:after="0" w:line="21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international regulatory and compliance requirements that could restrict our ability to manufacture, market and sell our products;</w:t>
      </w:r>
    </w:p>
    <w:p>
      <w:pPr>
        <w:spacing w:after="0" w:line="261"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and exposure to fluctuations in foreign currency exchange rates;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 staffing and managing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international medical reimbursement policies and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protection measures, including import or export licensing requirements and tariffs;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relationships with qualified local distributors and trading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economic instability in particular foreign economies and markets, in particular in emerging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outside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labor regulations and business practices; and</w:t>
      </w:r>
    </w:p>
    <w:p>
      <w:pPr>
        <w:spacing w:after="0" w:line="252"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sales and distributors' and service providers' activities that may fall within the purview of the Foreign Corrupt Practices Act, UK Bribery Act or similar local regulation.</w:t>
      </w:r>
    </w:p>
    <w:p>
      <w:pPr>
        <w:spacing w:after="0" w:line="139" w:lineRule="exact"/>
        <w:rPr>
          <w:sz w:val="20"/>
          <w:szCs w:val="20"/>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In addition, some of the countries in which Translarna for the treatment of nmDMD is available for sale are in emerging markets and we anticipate that Translarna will become available to new emerging markets during 2016. Some countries within emerging markets may be especially vulnerable to periods of global or regional financial instability or may have very limited resources to spend 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health care. We also may be required to increase our reliance on third-party agents within less developed markets. In addition, many emerging market countries have currencies that fluctuate substantially and if such currencies devalue and we cannot offset the devaluations, our financial performance within such countries could be adversely affected.</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in some countries, including Brazil, orders for named patient sales are for multiple months of therapy, which can lead to an unevenness in orders which could result in significant fluctuations in quarterly net product sales. Net product sales may also fluctuate quarter-over-quarter as a result of government actions, economic pressures and political unrest. Net product sales may be significantly impacted by multiple factors, including, among other things, decisions by regulatory authorities and our ability to successfully negotiate acceptable pricing and reimbursement terms on a timely basis in the countries in which we have or may obtain regulatory approval, including the EEA and other territories.</w:t>
      </w:r>
    </w:p>
    <w:p>
      <w:pPr>
        <w:spacing w:after="0" w:line="170"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of these factors may, individually or as a group, have a material adverse effect on our business and results of operations. As we continue to expand our existing international operations, we may encounter new risks.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current product candidates and any products we may seek to develop or commercialize in the future from major pharmaceutical companies, specialty pharmaceutical companies, and biotechnology companies worldwide.</w:t>
      </w:r>
    </w:p>
    <w:p>
      <w:pPr>
        <w:spacing w:after="0" w:line="194" w:lineRule="exact"/>
        <w:rPr>
          <w:sz w:val="20"/>
          <w:szCs w:val="20"/>
          <w:color w:val="auto"/>
        </w:rPr>
      </w:pPr>
    </w:p>
    <w:p>
      <w:pPr>
        <w:ind w:right="340" w:firstLine="348"/>
        <w:spacing w:after="0" w:line="255" w:lineRule="auto"/>
        <w:rPr>
          <w:sz w:val="20"/>
          <w:szCs w:val="20"/>
          <w:color w:val="auto"/>
        </w:rPr>
      </w:pPr>
      <w:r>
        <w:rPr>
          <w:rFonts w:ascii="Arial" w:cs="Arial" w:eastAsia="Arial" w:hAnsi="Arial"/>
          <w:sz w:val="18"/>
          <w:szCs w:val="18"/>
          <w:color w:val="auto"/>
        </w:rPr>
        <w:t>There is currently no marketed therapy, other than Translarna in the EEA, which has received approval for the treatment of the underlying cause of Duchenne muscular dystrophy. Other currently available treatments for Duchenne muscular dystrophy are only palliative. However, other biopharmaceutical companies are developing treatments for Duchenne muscular dystrophy, including palliative treatments (Marathon Pharmaceuticals and Santhera Pharmaceuticals) and treatments addressing the underlying cause of disease for different mutations in the DMD gene (BioMarin Pharmaceuticals and Sarepta Therapeutics).</w:t>
      </w:r>
    </w:p>
    <w:p>
      <w:pPr>
        <w:spacing w:after="0" w:line="197"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There are a number of large pharmaceutical and biotechnology companies that currently market and sell products to manage the symptoms and side effects of cystic fibrosis. These products include Novartis Pharmaceuticals Corporation's TOBI, Gilead Sciences, Inc.'s Cayston, and Genentech, Inc.'s Pulmozyme. Although there are currently no marketed products approved to treat the underlying cause of nmCF, Vertex Pharmaceuticals' drugs Kalydeco and Orkambi are approved by the FDA and in other territories as a treatment for cystic fibrosis caused by other mutations in the CFTR gene, not nonsense mutation. Vertex and other companies are developing other product candidates to treat cystic fibrosis for defined mutations or for all patients. We believe that Translarna is the only product candidate in clinical trials that is designed to treat the underlying cause of nmCF by restoring CFTR activity.</w:t>
      </w:r>
    </w:p>
    <w:p>
      <w:pPr>
        <w:spacing w:after="0" w:line="174"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Aldurazyme, which is manufactured by BioMarin Pharmaceutical Inc. and sold by Genzyme Corporation, is an enzyme replacement therapy for the treatment of mucopolysaccharidosis I. Furthermore, Diacomit is marketed in the European Union by Laboratoires Biocodex for the treatment of Dravet's syndrome. Other companies are also pursuing product candidates for the treatment of Dravet's syndrome, including GW Pharmaceuticals and Insys Therapeutics. Aniridia therapeutic interventions, such as artificial iris implantation, are being developed by HumanOptics AG. Our SMA collaboration with Roche and the SMA Foundation also faces competition. For example, Ionis Pharmaceuticals, Inc. is evaluating its antisense drug as a treatment for SMA in two Phase 3 studies that were initiated in SMA patients in 2014. Other companies are also pursuing product candidates for the treatment of SMA, including Novartis Pharmaceuticals Corporation.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competitors may develop products that are more effective, safer, more convenient or less costly than any that we are developing or that would render our product candidates obsolete or non-competitive. Our competitors may also obtain marketing authorization for their products more rapidly than we may obtain approval for ours, which could result in our competitors establishing a strong market position before we are able to enter the market.</w:t>
      </w:r>
    </w:p>
    <w:p>
      <w:pPr>
        <w:spacing w:after="0" w:line="16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believe that many competitors are attempting to develop therapeutics for the target indications of our product candidates, including academic institutions, government agencies, public and private research organizations, large pharmaceutical companies and smaller more focused companies.</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7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Even if we are able to commercialize Translarna for the treatment of nmDMD on a broad scale or commercialize Translarna for other indications or any other product candidate that we develop, the product may become subject to unfavorable pricing regulations, third-party reimbursement practices or healthcare reform initiatives, which would harm our business.</w:t>
      </w:r>
    </w:p>
    <w:p>
      <w:pPr>
        <w:spacing w:after="0" w:line="19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currently expect that Translarna will be priced at levels consistent with the pricing for other therapies for the treatment of rare disorders where high unmet medical need exists.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regulations and practices that govern marketing authorizations, pricing, coverage and reimbursement for new drug products vary widely from country to country. Current and future legislation may significantly change the approval requirements in ways that could involve additional costs and cause delays in obtaining approvals. Some countries, including almost all of the member states of the European Economic Area, require approval of the sale price of a drug before it can be marketed. In many countries, the pricing review period begins after marketing or product licensing approval is granted. In some foreign markets, including the European market, prescription pharmaceutical pricing remains subject to continuing governmental control even after initial approval is granted. As a result, we might obtain marketing authorization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authorization.</w:t>
      </w:r>
    </w:p>
    <w:p>
      <w:pPr>
        <w:spacing w:after="0" w:line="174" w:lineRule="exact"/>
        <w:rPr>
          <w:sz w:val="20"/>
          <w:szCs w:val="20"/>
          <w:color w:val="auto"/>
        </w:rPr>
      </w:pPr>
    </w:p>
    <w:p>
      <w:pPr>
        <w:ind w:right="120" w:firstLine="351"/>
        <w:spacing w:after="0" w:line="312" w:lineRule="auto"/>
        <w:rPr>
          <w:sz w:val="20"/>
          <w:szCs w:val="20"/>
          <w:color w:val="auto"/>
        </w:rPr>
      </w:pPr>
      <w:r>
        <w:rPr>
          <w:rFonts w:ascii="Arial" w:cs="Arial" w:eastAsia="Arial" w:hAnsi="Arial"/>
          <w:sz w:val="15"/>
          <w:szCs w:val="15"/>
          <w:color w:val="auto"/>
        </w:rPr>
        <w:t>Our ability to commercialize Translarna or any other product candidate successfully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A primary trend in the EU and U.S. healthcare industries and elsewhere is cost containment. Government authorities and other third-party payors have attempted to control costs by limiting coverage and the amount of reimbursement for particular medications. Prices at which we or our customers seek reimbursement for our products can be subject to challenge, reduction or denial by the government and other payers. Increasingly, third-party payors are requiring that drug companies provide them with predetermined discounts from list prices and are challenging the prices charged for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medical products. We cannot be sure that coverage and reimbursement will be available for Translarna or any other product that we commercialize and, if coverage and reimbursement are available, the level of reimbursement. Reimbursement may impact the demand for, or the price of, any product candidate for which we obtain marketing authorization. Obtaining reimbursement for Translarna may be particularly difficult because of the higher prices typically associated with drugs directed at smaller populations of patients. In addition, third-party payors are likely to impose strict requirements for reimbursement of a higher priced drug. If reimbursement is not available or is available only to limited levels, we may not be able to successfully commercialize any product candidate for which we obtain marketing authorization.</w:t>
      </w:r>
    </w:p>
    <w:p>
      <w:pPr>
        <w:spacing w:after="0" w:line="198"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applicable regulatory authority.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the United States, third-party payors often rely upon Medicare coverage policy and payment limitations in setting their own reimbursement policies. In addition, there has been recent negative publicity and Congressional scrutiny around pharmaceutical drug pricing in the U.S. Moreover, U.S. government authorities and third-party payors are increasingly attempting to limit or regulate drug prices and reimbursement, particularly for new and innovative therapies. These dynamics may give rise to negative reactions to pricing decisions for products for which we may receive regulatory approval in the future, possibly limiting our ability to generate revenue and attain profitability. In the European Union, reference pricing systems and other measures may lead to cost containment and reduced prices. Our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 In addition, in the European Union, for medicines authorized by the centralized authorization procedure, an authorized trader, such as a wholesaler, can purchase a medicine in one EU member state and import the product into another EU member state. This process is called "parallel distribution". As a result, a purchaser in one EU member state may seek to import Translarna from another EU member state where Translarna is sold at a lower price. This could have a negative impact on our business, financial condition, results of operations and growth.</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24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face an inherent risk of product liability exposure related to the commercialization of Translarna, any other product that we may commercialize, and in connection with the testing of our product candidates in human clinical trials for Translarna and any other product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211"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w:t>
      </w:r>
    </w:p>
    <w:p>
      <w:pPr>
        <w:spacing w:after="0" w:line="252" w:lineRule="exact"/>
        <w:rPr>
          <w:rFonts w:ascii="Arial" w:cs="Arial" w:eastAsia="Arial" w:hAnsi="Arial"/>
          <w:sz w:val="18"/>
          <w:szCs w:val="18"/>
          <w:color w:val="auto"/>
        </w:rPr>
      </w:pPr>
    </w:p>
    <w:p>
      <w:pPr>
        <w:ind w:left="5620" w:right="4740" w:hanging="5072"/>
        <w:spacing w:after="0" w:line="613" w:lineRule="auto"/>
        <w:tabs>
          <w:tab w:leader="none" w:pos="1082"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decreased demand for any product candidates or products that we may develop;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insurance costs, or an inability to maintain appropriate insurance coverage;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product liability insurance that covers our commercial sales, sales pursuant to reimbursed early access programs and clinical trials up to a</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$25.0 million annual aggregate limit, and subject to a per claim deductible. The amount of insurance we currently hold may not be adequate to cover all liabilities and defense costs that we may incur. We may need to further increase our insurance coverage as we continue commercializing Translarna or as and when we begin commercializing any other product candidate that receives marketing authorization. The cost of insurance coverage is highly variable, based on a wide range of factors, and is increasingly expensive. We may not be able to maintain insurance coverage at a reasonable cost or in an amount adequate to satisfy any liability or defense costs that may arise.</w:t>
      </w:r>
    </w:p>
    <w:p>
      <w:pPr>
        <w:spacing w:after="0" w:line="1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operations currently, and may in the future, involve the use of hazardous and flammable materials, including chemicals and medical and biological materials, and produce hazardous waste products. Even if we contract with third parties for the disposal of these materials and wastes, we cannot eliminate the risk of contamination or injury from these materials. In the event of contamination or injury resulting from our use of hazardous materials or disposal of hazardous wastes, we could be held liable for any resulting damages, and any liability could exceed our resources.</w:t>
      </w:r>
    </w:p>
    <w:p>
      <w:pPr>
        <w:spacing w:after="0" w:line="154"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also maintain liability insurance for some of these risks, but our liability policy excludes pollution and has an aggregate coverage limit of $11.0 million.</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Because we have limited financial and managerial resources, we focus on research programs and product candidates for specific indications. As a result, we may forego or delay pursuit of opportunities with other product candidates or for other indications that later prove to have greater commercial potential. For example, we initiated separate Phase 2 clinical trials of Translarna for the treatment of hemophilia in 2009 and the metabolic disorder methylmalomic acidemia in 2010, but then suspended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these clinical trials to focus on the development of Translarna for nmDMD and nmCF when we found variability in the assays used in these trials and preliminary data from these trials did not indicate definitive evidence of activity.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w:t>
      </w:r>
    </w:p>
    <w:p>
      <w:pPr>
        <w:spacing w:after="0" w:line="197"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have based our research and development efforts on small-molecule drugs that target post-transcriptional control processes. Notwithstanding our large investment to date and anticipated future expenditures in proprietary technologies, including GEMS and our alternative splicing technology, which we use in the discovery of these molecules, to date we have only been granted marketing authorization to treat nmDMD under a restricted label, and subject to the fulfillment of certain conditions and ongoing renewal requirements, in the European Economic Area. We may not be able to successfully renew or satisfy the ongoing requirements of our current marketing authorization for nmDMD and we may never successfully develop any other marketable drugs or indications using our scientific approach. As a result of pursuing the development of product candidates using our proprietary technologies, we may fail to develop product candidates or address indications based on other scientific approaches that may offer greater commercial potential or for which there is a greater likelihood of success. Research programs to identify new product candidates require substantial technical, financial and human resources. These research programs may initially show promise in identifying potential product candidates, yet fail to yield product candidates for clinical development.</w:t>
      </w:r>
    </w:p>
    <w:p>
      <w:pPr>
        <w:spacing w:after="0" w:line="17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manufacture and distribution of our product and our product candidates, which may increase the risk that we will not have sufficient quantities of our products or product candidates or such quantities at an acceptable cost, which could delay, prevent or impair our commercialization or development efforts.</w:t>
      </w:r>
    </w:p>
    <w:p>
      <w:pPr>
        <w:spacing w:after="0" w:line="194"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We do not own or operate manufacturing or distribution facilities for the production or distribution of clinical or commercial supplies of our product candidates. We have limited personnel with experience in drug manufacturing and lack the resources and the capabilities to manufacture any of our product candidates on a clinical or commercial scale. We currently rely on third parties for supply of the active pharmaceutical ingredients in Translarna and all of our product candidates. We outsource all manufacturing, packaging, labeling and distribution of our products and product candidates to third parties, including our commercial supply of Translarna.</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currently have a contract with a pharmacy and hospital distributor in the European Union that distributes Translarna for clinical programs and limited commercial and EAP programs. In the first half of 2015, we engaged a third party logistics, or 3PL, provider in the European Union, which has commenced distribution of Translarna for the majority of our commercial and EAP programs on our behalf. We intend to engage distributors in other geographies if and when, if ever, we become authorized to make Translarna available for purchase in such locations.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currently rely on a single source for the production of some of our raw materials and we obtain our supply of the bulk drug substance for Translarna from two third-party manufacturers and the bulk drug substance for our cancer stem cell program through another third-party manufacturer. We engage a separate manufacturer to provide bulk drug product and expect to finalize our validation of another bulk drug manufacturer in 2016. We have a relationship with two manufacturers that are capable of providing fill and finish services for our finished commercial and clinical product, although we are still in the process of finalizing arrangements with one of these manufacturers with respect to commercial product services. During 2016, we anticipate engaging a third manufacturer to provide fill and finish services for both commercial and clinical product. We do not currently have any agreements with third-party manufacturers for the long-term commercial supply of Translarna or any of our product candidates. We expect to engage in discussions with certain third-party suppliers and manufacturers with respect to commercial supply agreements for Translarna bulk drug substance and product during 2016.</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be unable to conclude agreements for commercial or clinical supply with third-party manufacturers, or may be unable to do so on acceptable terms.</w:t>
      </w:r>
    </w:p>
    <w:p>
      <w:pPr>
        <w:spacing w:after="0" w:line="248"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Even if we are able to establish and maintain arrangements with third-party manufacturers and distributors, reliance on such service providers entails additional risks, including:</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of commercial supplies of Translarna not being distributed to commercial vendors or end users in a timely manner, resulting in lost sales;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color w:val="auto"/>
        </w:rPr>
        <w:t>Many additional factors could cause production or distribution interruptions with the manufacture and distribution of Translarna and any of our product candidates, including human error, natural disasters, labor disputes, acts of terrorism or war, equipment malfunctions, contamination, or raw material shortages.</w:t>
      </w:r>
    </w:p>
    <w:p>
      <w:pPr>
        <w:spacing w:after="0" w:line="11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third-party manufacturers or distributors may not be able to comply with current good manufacturing practice, or cGMP, or good distribution practice, or GDP, or similar regulatory requirements outside the European Union and the United States. Our failure, or the failure of our third-party manufacturers or distributors, to comply with applicable regulations could result in sanctions being imposed on us, including fines, injunctions, civil penalties, delays, suspension or withdrawal of approvals, license revocation, seizures or recalls of product candidates or product, operating restrictions, criminal prosecutions or debarment, any of which could significantly and adversely affect supplies of Translarna or our product candidates.</w:t>
      </w:r>
    </w:p>
    <w:p>
      <w:pPr>
        <w:spacing w:after="0" w:line="170"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Our product and our product candidates and any other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1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If the third parties that we engage to manufacture product for our commercial sales, preclinical tests and clinical trials should, prior to the time that we have validated alternative providers, cease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continue to do so for any reason, we likely would experience delays in our ability to supply Translarna to patients or in advancing our clinical trials while we identify and qualify replacement suppliers and we may be unable to obtain replacement supplies on terms that are favorable to us. In addition, if we are not able to obtain adequate supplies of Translarna or our product candidates or the drug substances used to manufacture them, we will lose commercial sales revenue and it will be more difficult for us to develop our product candidates and compete effectively.</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current and anticipated future dependence upon others for the manufacture and distribution of Translarna and our product candidates may adversely affect our business, financial condition, results of operations and growth including our ability to develop product candidates and commercialize our products that receive regulatory approval on a timely and competitive basis.</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deadlines for the completion of such trials.</w:t>
      </w:r>
    </w:p>
    <w:p>
      <w:pPr>
        <w:spacing w:after="0" w:line="18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do not independently conduct clinical trials for our product or product candidates. We rely on third parties, such as contract research organizations, clinical data management organizations, medical institutions and clinical investigators, to perform this function. Any of these third parties may terminate their engagements with us at any time. If we need to enter into alternative arrangements, it would delay our product development activities.</w:t>
      </w:r>
    </w:p>
    <w:p>
      <w:pPr>
        <w:spacing w:after="0" w:line="161" w:lineRule="exact"/>
        <w:rPr>
          <w:sz w:val="20"/>
          <w:szCs w:val="20"/>
          <w:color w:val="auto"/>
        </w:rPr>
      </w:pPr>
    </w:p>
    <w:p>
      <w:pPr>
        <w:ind w:right="80" w:firstLine="351"/>
        <w:spacing w:after="0" w:line="252" w:lineRule="auto"/>
        <w:rPr>
          <w:sz w:val="20"/>
          <w:szCs w:val="20"/>
          <w:color w:val="auto"/>
        </w:rPr>
      </w:pPr>
      <w:r>
        <w:rPr>
          <w:rFonts w:ascii="Arial" w:cs="Arial" w:eastAsia="Arial" w:hAnsi="Arial"/>
          <w:sz w:val="18"/>
          <w:szCs w:val="18"/>
          <w:color w:val="auto"/>
        </w:rPr>
        <w:t>Our reliance on these third parties for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standards, commonly referred to as Good Clinical Practices, or GCP,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Similar GCP and transparency requirements apply in the European Union. Failure to comply with such requirements, including with respect to clinical trials conducted outside the European Union and United States, can also lead regulatory authorities to refuse to take into account clinical trial data submitted as part of a marketing application.</w:t>
      </w:r>
    </w:p>
    <w:p>
      <w:pPr>
        <w:spacing w:after="0" w:line="20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For example, in the first half of 2013 inspectors acting at the request of the EMA conducted GCP inspections of selected clinical sites from our completed Phase 2b clinical trial of Translarna for the treatment of nmDMD and our clinical trial site relating to our then pending MAA for approval of Translarna for the treatment of nmDMD. Following these inspections, we received inspection reports containing a combination of critical and major findings. These findings related to waivers we granted to admit patients to our Phase 2b clinical trial of Translarna for the treatment of nmDMD in advance of formal approval of protocol amendments that would have established their eligibility for the trial, as well as our oversight of our trial sites and the completeness or sufficiency of clinical trial documentation. In response to these findings, we described to the EMA the enhanced internal procedures and controls we have implemented, and the internal quality assurance department we have established, since the conclusion of our Phase 2b clinical trial of Translarna for the treatment of nmDMD. In addition, we proposed corrective action plans to address the inspectors' specific findings. If we do not meet our commitment to the corrective actions we proposed to the EMA, we may face additional consequences, including rejection of data or other direct action by national regulatory authorities, which could require us to conduct additional clinical trials or other supportive studies to maintain our marketing authorization in the EEA for Translarna for the treatment of nmDMD or to obtain full approval from the EMA.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Furthermore, third parties that we rely on for our clinical development activities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our product candidates and will not be able to, or may be delayed in our efforts to, successfully commercialize our product candidates. Our product development costs will increase if we experience delays in testing or obtaining marketing authorizations.</w:t>
      </w:r>
    </w:p>
    <w:p>
      <w:pPr>
        <w:spacing w:after="0" w:line="170"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Any performance failure on the part of our distributors could delay clinical development or marketing authorizations of our product or product candidates or commercialization of our products, producing additional losses and depriving us of potential product revenue.</w:t>
      </w:r>
    </w:p>
    <w:p>
      <w:pPr>
        <w:spacing w:after="0" w:line="194"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b w:val="1"/>
          <w:bCs w:val="1"/>
          <w:i w:val="1"/>
          <w:iCs w:val="1"/>
          <w:color w:val="auto"/>
        </w:rPr>
        <w:t>We currently depend, and expect to continue to depend, on collaborations with third parties for the development and commercialization of some of our product candidates. If those collaborations are not successful, we may not be able to capitalize on the market potential of these product candidates.</w:t>
      </w:r>
    </w:p>
    <w:p>
      <w:pPr>
        <w:spacing w:after="0" w:line="11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For each of our product candidates, we plan to evaluate the merits of retaining commercialization rights for ourselves or entering into selective collaboration arrangements with leading pharmaceutical or biotechnology companies, such as our collaborations with Roche and the SMA Foundation, for our spinal muscular atrophy program. We have entered into arrangements with certain third parties to market or distribute Translarna for the treatment of nmDMD in certain countries and, as we continue to implement our commercialization plans for Translarna, we anticipate that we will engage additional third parties to perform these functions for us in other countries. We generally plan to seek collaborators for the development and commercialization of product candidates that have high anticipated development costs, are directed at indications for which a potential collaborator has a particular expertise, or involve markets that require a large sales and marketing organization to serve effectively. Our likely collaborators for any marketing, distribution, development, licensing or broader collaboration arrangements may include: large and mid-size pharmaceutical companies, regional and national pharmaceutical companies and/or biotechnology companies.</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have limited control over the amount and timing of resources that our collaborators dedicate to the development or commercialization of our product candidates. Our ability to generate revenues from these arrangements will depend on our collaborators' desire and ability to successfully perform the functions assigned to them in these arrangements. In particular, the successful development of a product candidate from our spinal muscular atrophy program will initially depend on the success of our collaborations with the SMA Foundation and Roche, including whether Roche continues clinical development of the current clinical candidate or pursues clinical development of any other compounds identified under the collaborations.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Collaborations involving our product candidates, including our collaborations with the SMA Foundation and Roche, pose the following risks to us:</w:t>
      </w:r>
    </w:p>
    <w:p>
      <w:pPr>
        <w:spacing w:after="0" w:line="26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21"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may arise between the collaborator and us as to the ownership of intellectual property arising during the collaboration;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grant exclusive rights to our collaborators, which would prevent us from collaborating with others;</w:t>
      </w:r>
    </w:p>
    <w:p>
      <w:pPr>
        <w:spacing w:after="0" w:line="238"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166" w:lineRule="exact"/>
        <w:rPr>
          <w:rFonts w:ascii="Arial" w:cs="Arial" w:eastAsia="Arial" w:hAnsi="Arial"/>
          <w:sz w:val="16"/>
          <w:szCs w:val="16"/>
          <w:color w:val="auto"/>
        </w:rPr>
      </w:pPr>
    </w:p>
    <w:p>
      <w:pPr>
        <w:ind w:left="1080" w:right="13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Collaborators have terminated collaborations with us in the past. For example, in 2008, we entered into a collaboration with Genzyme Corporation for the development and commercialization of Translarna under which we granted to Genzyme rights to commercialize Translarna in all countries other than the United States and Canada. In 2011, we restructured the collaboration and regained worldwide rights to Translarna, with Genzyme obtaining an option to commercialize Translarna in indications other than nmDMD outside the United States and Canada. In 2012, this option expired without being exercised by Genzyme and the collaboration terminated.</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establish additional collaborations, we may have to alter our development and commercialization plans.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For some of our product candidates, we may decide to collaborate further with pharmaceutical and biotechnology companies for the development and potential commercialization of those product candidates.</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regulatory authorities, the potential market for the subject product candidate, the costs and complexities of manufacturing and delivering such product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4"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party to a number of license agreements and expect to enter into additional licenses in the future. Our existing licenses impose, and we expect that future licenses will impose, various diligence, milestone payment, royalty, insurance and other obligations on us. If we fail to comply with these obligations, the licensor may have the right to terminate the license, in which event we might not be able to market any product that is covered by these agreements, which could materially adversely affect the value of the product candidate being developed under such license agreement. Termination of these license agreements or reduction or elimination of our licensed rights may result in our having to negotiate new or reinstated licenses with less favorable terms, or cause us to lose rights in important intellectual property or technology.</w:t>
      </w:r>
    </w:p>
    <w:p>
      <w:pPr>
        <w:spacing w:after="0" w:line="174"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have also received grant funding for some of our development programs from philanthropic organizations and patient advocacy groups pursuant to agreements that impose development and commercialization diligence obligations on us. If we fail to comply with these obligations, the applicable organization could require us to grant to the organization exclusive rights under certain of our intellectual property, which could materially adversely affect the value to us of product candidates covered by that intellectual property even if we are entitled to a share of any consideration received by such organization in connection with any subsequent development or commercialization of the product candidates.</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and U.S. government funding must be disclosed in any resulting patent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applications. Furthermore, our rights in such inventions are subject to government license rights and certain restrictions on manufacturing products outside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94"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in certain foreign jurisdictions related to our novel technologies, product and product candidates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if we license technology or product candidates from third parties in the future, these license agreements may not permit us to control the preparation, filing and prosecution of patent applications, or to maintain or enforce the patents, covering this intellectual property. These agreements could also give our licensors the right to enforce the licensed patents without our involvement, or to decide not to enforce the patents at all. Therefore, in these circumstances, these patents and applications may not be prosecuted and enforced in a manner consistent with the best interests of our business.</w:t>
      </w:r>
    </w:p>
    <w:p>
      <w:pPr>
        <w:spacing w:after="0" w:line="174"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70"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laws of foreign countries may not protect our rights to the same extent as the laws of the United States. For example, patent law in many countries restricts the patentability of methods of treatment of the human body more than U.S. law does. In addition, we may not pursue or obtain patent protection in all major markets.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In addition, the Leahy-Smith America Invents Act of 2011 (the "Act"), which reformed certain patent laws in the U.S., may create additional uncertainty. The significant changes engendered by the Act include switching from a "first-to-invent" system to a "first-to-file" system, and the implementation of new procedures that permit competitors to challenge our patents in the USPTO after grant, including inter partes review and post grant review.</w:t>
      </w:r>
    </w:p>
    <w:p>
      <w:pPr>
        <w:spacing w:after="0" w:line="177"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Moreover, we may be subject to a third party anonymously submitting prior art to a patent office or may become involved in addressing patentability objections based on third party submission of references, oppositions, derivation proceedings, reexamination, inter partes review, post grant review,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interference proceedings or other patent office proceedings or litigation,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our product or current or future product candidates.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In addition, other companies may attempt to circumvent any regulatory data protection or market exclusivity that we obtain under applicable legislation, which may require us to allocate significant resources to preventing such circumvention. Legal and regulatory developments in the European Union and elsewhere may also result in clinical trial data submitted as part of an MAA becoming publicly available. The EMA Policy on publication of clinical data, as well as the current application of European Union freedom of information regulations, could impact our proprietary information (comprising both clinical and non-clinical data) that would normally be maintained by a regulatory body as confidential. Such developments could enable other companies to circumvent our intellectual property rights and use our clinical trial data to obtain marketing authorizations in the European Union and in other jurisdictions. Such developments may also require us to allocate significant resources or engage in litigation to prevent other companies from circumventing or violating our intellectual property rights. Our attempts to prevent third parties from circumventing our intellectual property and other rights may ultimately be unsuccessful. We may also fail to take the required actions or pay the necessary fees to maintain our patents.</w:t>
      </w:r>
    </w:p>
    <w:p>
      <w:pPr>
        <w:spacing w:after="0" w:line="18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on such a basis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86"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Competitors may infringe our patents, trademarks, copyrights or other intellectual property. To counter infringement or unauthorized use, we may be required to file claims, which can be expensive and time consuming. Any claims we assert against perceived infringers could provoke these parties to assert counterclaims against us alleging that we infringe their intellectual property or defenses, such that they do not infringe our intellectual property. In addition, in a patent infringement proceeding, a court may decide that a patent of ours is invalid or unenforceable, in whole or in part, construe the patent's claims narrowly or may refuse to stop the other party from using the technology at issue on the grounds that our patents do not cover the technology in question.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our patents are invalid and unenforceable or that we are infringing their intellectual property rights, the outcome of which would be uncertain and could have a material adverse effect on the success of our business.</w:t>
      </w:r>
    </w:p>
    <w:p>
      <w:pPr>
        <w:spacing w:after="0" w:line="13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and our product candidates and use our proprietary technologies without infringing the intellectual property and other proprietary rights of third parties. There is considerable intellectual property litigation in the biotechnology and pharmaceutical industries, and we may become party to, or threatened with, future adversarial proceedings or litigation regarding intellectual property rights with respect to our products and technology, including interference, derivation, inter partes review or post-grant review proceedings before the U.S. Patent and Trademark Office. The risks of being involved in such litigation and proceedings may also increase as our product candidates approach commercialization, and as we gain greater visibility as a public company. Third parties may assert infringement claims against us based on existing or future intellectual property rights. We may not be aware of all such intellectual property rights potentially relating to our product and our product candidates. Since patent applications in the United States and other jurisdictions are typically not published until 18 months after filing, or in some cases not at all, with new publications occurring continuously, there may be patents or patent applications relating to our product or our product candidates that we are unaware of. There may also be pending or future patent applications that, if issued, would block us from commercializing Translarna. Thus, we do not know with certainty whether Translarna, or any of our other product candidates, or our commercialization thereof, would or would not infringe any third party's intellectual property.</w:t>
      </w:r>
    </w:p>
    <w:p>
      <w:pPr>
        <w:spacing w:after="0" w:line="17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If we are found to infringe a third party's intellectual property rights, or in order to avoid or settle litigation, we could be required to obtain a license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payments. We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 or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72"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For example, it is possible that one or more third parties might bring a patent infringement or other legal proceeding against us regarding Translarna. We are aware of an issued U.S. patent and international patent applications that purport to disclose or contain claims to chemical scaffolds that are sufficiently broad that they could be read to encompass ataluren, the active ingredient in Translarna, even though neither the issued U.S. patent nor any of the international patents or patent applications specifically discloses ataluren. In order to successfully challenge the validity of any issued U.S. patent that may allegedly include ataluren within the scope of a granted claim, we would need to overcome that patent's presumption of validity in district court or prove unpatentability by a preponderance of the evidence before the USPTO. There is no assurance that a court or the USPTO would find these claims to be invalid or unpatentable, respectively. In addition, we believe that the public notice given by our testing of ataluren in clinical trials for the purpose of seeking FDA approval would be a valid defense against any infringement claims in the United States based on the availability of any statutory research exemptions. However, there can be no assurance that our interpretation of the exemption would be upheld, were the exemption interpreted as covering only our preclinical research activities, and not the commercialization of ataluren.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9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addition, while we typically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67" w:lineRule="exact"/>
        <w:rPr>
          <w:sz w:val="20"/>
          <w:szCs w:val="20"/>
          <w:color w:val="auto"/>
        </w:rPr>
      </w:pPr>
    </w:p>
    <w:p>
      <w:pPr>
        <w:ind w:right="660" w:firstLine="351"/>
        <w:spacing w:after="0" w:line="259"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we cannot guarantee that we have executed these agreements with each party that may have or have had access to our trade secrets or that the agreements we have executed will provide adequate protection. Any party with whom we have executed such an agreement may breach that agreement and disclose our proprietary information, including our trade secrets, and we may not be able to obtain adequate remedies for such breaches. Enforcing a claim that a party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obtained or independently developed by a competitor, our competitive position would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not yet registered our trademarks in all of our potential markets, and failure to secure those registrations could adversely affect our business.</w:t>
      </w:r>
    </w:p>
    <w:p>
      <w:pPr>
        <w:spacing w:after="0" w:line="26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trademark applications may be refused registration, and our registered trademarks may not be maintained or found to be enforceable. During trademark examination proceedings, our trademark applications may be rejected. Although we are given an opportunity to respond to those rejections, we may not be able to overcome them. In addition, in the U.S. Patent and Trademark Office and Trademark Offices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addition, if we do not secure registrations for our trademarks, we may encounter difficulty enforcing our trademark rights against third parties.</w:t>
      </w:r>
    </w:p>
    <w:p>
      <w:pPr>
        <w:spacing w:after="0" w:line="174"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b w:val="1"/>
          <w:bCs w:val="1"/>
          <w:i w:val="1"/>
          <w:iCs w:val="1"/>
          <w:color w:val="auto"/>
        </w:rPr>
        <w:t>If we are not able to obtain adequate trademark protection or regulatory approval for our brand names, including Translarna, we may be required to re-brand affected products, which could cause delays in getting such products to market and substantially increase our costs.</w:t>
      </w:r>
    </w:p>
    <w:p>
      <w:pPr>
        <w:spacing w:after="0" w:line="139"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To protect our rights in any trademark we intend to use for our product or our product candidates, including Translarna, we may seek to register such trademarks. Trademark registration is territory-specific and we must apply for trademark registration in the United States as well as any other country where we intend to commercialize our product or product candidates. Failure to obtain trademark registrations may place our use of the trademarks at risk or make them subject to legal challenges, which could force us to choose alternative names for our product or product candidates. In addition, the FDA, and other regulatory authorities outside the United States, typically conduct an independent review of proposed product names for pharmaceuticals, including an evaluation of the potential for confusion with other product names for medications, which could result in prescribing errors. These regulatory authorities may also object to a proposed product name if they believe the name inappropriately makes or implies a therapeutic claim. If the FDA or other regulatory authorities outside the United States object to any of our proposed product names, we may be required to adopt alternative names for our product or product candidates. If we adopt alternative names, either because of our inability to obtain a trademark registration or because of objections from regulatory authorities, we would lose the benefit of our existing trademark applications and the rights attached thereto. Consequently, we may be required to expend significant additional resources in an effort to adopt a new product name that would be registrable under applicable trademark laws, not infringe the existing rights of third parties and be acceptable to the FDA and other regulatory authorities, which could cause delays in getting our products to market and substantially increase our costs. Furthermore, we may not be able to build a successful brand identity for a new trademark in a timely manner or at all, which would limit our ability to commercialize our product or our product candidates.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and our Product Candidates</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We have received a Refuse to File letter from the FDA regarding our NDA for Translarna for the treatment of nmDMD, which will have a material adverse effect on our ability to obtain regulatory approval in the United States to market Translarna for the treatment of nmDMD. If we are not able to obtain, or if there are delays in obtaining, required regulatory approvals, we will not be able to continue to commercialize Translarna for nmDMD or other indications or commercialize our other product candidates, and our ability to generate revenue will be materially impaired.</w:t>
      </w:r>
    </w:p>
    <w:p>
      <w:pPr>
        <w:spacing w:after="0" w:line="16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Translarna and 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EMA and by comparable authorities in other countries. Failure to obtain marketing authorization for a product candidate will prevent us from commercializing the product candidate.</w:t>
      </w:r>
    </w:p>
    <w:p>
      <w:pPr>
        <w:spacing w:after="0" w:line="197"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We announced the initial results of ACT DMD, our confirmatory Phase 3 trial in nmDMD, in October 2015. While the primary efficacy endpoint in the ITT population did not achieve statistical significance in ACT DMD, we believe that the totality of clinical data from ACT DMD and our prior Phase 2b trial support the clinical benefit of Translarna for the treatment of nmDMD. However, on February 22, 2016, we received a Refuse to File letter from the FDA regarding our NDA for Translarna for the treatment of nmDMD. The FDA stated in the Refuse to File letter that our NDA was not sufficiently complete to permit a substantive review. Specifically, we were notified in the letter that, in the view of the FDA, both the Phase 2b and Phase 3 ACT DMD trials were negative and do not provide substantial evidence of effectiveness. Additionally, the FDA stated that we had proposed a post-hoc adjustment of ACT DMD that eliminates data from a majority of enrolled patients. In addition, the FDA noted that our NDA does not contain adequate information regarding the abuse potential of Translarna. See</w:t>
      </w:r>
    </w:p>
    <w:p>
      <w:pPr>
        <w:ind w:right="780"/>
        <w:spacing w:after="0" w:line="323" w:lineRule="auto"/>
        <w:rPr>
          <w:sz w:val="20"/>
          <w:szCs w:val="20"/>
          <w:color w:val="auto"/>
        </w:rPr>
      </w:pPr>
      <w:r>
        <w:rPr>
          <w:rFonts w:ascii="Arial" w:cs="Arial" w:eastAsia="Arial" w:hAnsi="Arial"/>
          <w:sz w:val="16"/>
          <w:szCs w:val="16"/>
          <w:color w:val="auto"/>
        </w:rPr>
        <w:t>"Item 1. Business—Marketing authorization matters for Translarna in nonsense mutation Duchenne muscular dystrophy—United States" for additional information with respect to our history of interactions with the FDA with respect to Translarna for the treatment of nmDMD.</w:t>
      </w:r>
    </w:p>
    <w:p>
      <w:pPr>
        <w:spacing w:after="0" w:line="14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There is substantial risk that, notwithstanding any further dialogue we may be able to initiate with the agency, the FDA will continue to disagree with our interpretation of our trial results and we may be required to perform additional clinical and non-clinical trials at significant cost, which, if successful, may enable FDA review of an NDA submission, which would have a material adverse effect on our business, financial performance and results of operations. Any such requirement for additional trials would also most likely result in our inability to sell Translarna in the United States for a significant period of time. In addition, there is substantial risk that regulators in other territories, including the EMA, will not agree with our interpretation of the results of ACT DMD and the totality of clinical data from our trials, which would have a material adverse effect on our ability to generate revenue from the sales of Translarna for the treatment of nmDMD. See "Risk Factors—Risks Related to the Development and Commercialization of our Product and Product Candidates" for further detail regarding how the ACT DMD results could impact our ability to commercialize Translarna.</w:t>
      </w:r>
    </w:p>
    <w:p>
      <w:pPr>
        <w:spacing w:after="0" w:line="172"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We received marketing authorization to market Translarna for nmDMD in the EEA in the third quarter of 2014. This marketing authorization is subject to annual EMA reassessment and was further conditioned on our submission of the final report, including additional efficacy and safety data, from ACT DMD, which we submitted in January 2016. In 2015, we received marketing authorizations for Translarna in South Korea and Israel; each of which are largely contingent upon continued marketing authorization in the EEA. We have not otherwise received marketing authorization for Translarna or any of our other product candidates from regulatory authorities in any jurisdiction. We have begun seeking and intend to continue to seek marketing authorization for Translarna for the treatment of nmDMD in territories outside of the EEA. We may not receive necessary approvals from the FDA, the EMA, or other regulators to further commercialize Translarna for nmDMD or to commercialize Translarna for any other indication or commercialize any product candidate in any market.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during the third quarter of 2015 we submitted a variation to our marketing authorization application with the EMA to seek to include Translarna for the treatment of nmCF. There is substantial risk that the EMA will not grant us approval of Translarna for the treatment of nmCF. We expect that even if the EMA approves a variance to include Translarna for nmCF, the EMA will require us, as a post-approval measure, to provide it with comprehensive clinical data from ACT CF. In addition, unless and until we satisfy the conditions of our primary marketing authorization in the EEA for Translarna, such authorization will continue to be subject to annual review and renewal by the European Commission following reassessment by the EMA.</w:t>
      </w:r>
    </w:p>
    <w:p>
      <w:pPr>
        <w:spacing w:after="0" w:line="170"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have only limited experience in filing and supporting the applications necessary to obtain marketing authorizations for product candidates and expect to continue to rely on third-party contract research organizations to assist us in this process. Securing marketing authorization requires the timely preparation and submission of extensive preclinical and clinical data and supporting information to regulatory authorities for each therapeutic indication to establish the product candidate's safety and efficacy. In response to changes in the regulatory environment or requests from regulators, we may elect, or be obliged, to postpone a regulatory submission to include additional analyses, including those intended to strengthen our submission or facilitate regulator review, which could cause delays in getting our products to market and substantially increase our costs. Securing marketing authorization also requires the submission of information about the product manufacturing process to, and inspection of manufacturing facilities by, the regulatory authorities. Regulatory authorities may determine that Translarna or any of our other product candidates are not effective or only moderately effective, or have undesirable or unintended side effects, toxicities, safety profiles or other characteristics that preclude us from obtaining marketing authorization or that prevent or limit commercial use.</w:t>
      </w:r>
    </w:p>
    <w:p>
      <w:pPr>
        <w:spacing w:after="0" w:line="17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process of obtaining marketing authorizations is expensive, may take many years, if approval is obtained at all, and can vary substantially based upon a variety of factors, including the type, complexity and novelty of the product candidates involved. Changes in marketing authorization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authorization of a product candidate. Any marketing authorization we ultimately obtain may be limited or subject to restrictions or post-approval commitments that render the approved product not commercially viable.</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For example, the marketing authorization granted on a conditional basis by the EMA in the European Economic Area for Translarna is limited to ambulatory nmDMD patients aged five years and older who have been identified through genetic testing and was further conditioned on our submission of the final report, including additional efficacy and safety data, from ACT DMD, which we submitted in January 2016, and our ability to implement several post-approval measures, including pharmacovigilance plans, that are detailed in the risk management plan. In addition, the marketing authorization is subject to annual review and renewal by the European Commission following reassessment by the EMA. If the EMA does not view the results of ACT DMD as favorable, if we fail to satisfy our obligations under the marketing authorization, or if it is determined that the balance of risks and benefits of using Translarna changes materially, the European Commission could, at the EMA's recommendation, vary, suspend, withdraw or refuse to renew the marketing authorization for Translarna or require additional clinical trials.</w:t>
      </w:r>
    </w:p>
    <w:p>
      <w:pPr>
        <w:spacing w:after="0" w:line="199"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Conditional marketing authorizations based on incomplete clinical data, including our marketing authorization for Translarna for the treatment of nmDMD, may be granted for a limited number of listed medicinal products for human use, including products designated as orphan medicinal products under EU law, if</w:t>
      </w:r>
    </w:p>
    <w:p>
      <w:pPr>
        <w:ind w:left="5620" w:right="5440" w:hanging="5612"/>
        <w:spacing w:after="0" w:line="605" w:lineRule="auto"/>
        <w:tabs>
          <w:tab w:leader="none" w:pos="25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EMA determines that the risk-benefit balance of the product is positive, (2) it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is likely that the applicant will be in a position to provide the required comprehensive clinical trial data, (3) unmet medical needs will be fulfilled and (4) the benefit to public health of the immediate availability on the market of the medicinal product outweighs the risk inherent in the fact that additional data are still required. Specific obligations, including with respect to the completion of ongoing or new studies, and with respect to the collection of pharmacovigilance data, may be specified in the conditional marketing authorization. Marketing authorizations subject to conditions are only valid for one year, and must be renewed annually by the EMA after an assessment of the risk-benefit balance and need for additional or modified conditions.</w:t>
      </w:r>
    </w:p>
    <w:p>
      <w:pPr>
        <w:spacing w:after="0" w:line="17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marketing authorizations in countries outside the United States do not ensure pricing approvals in those countries or in any other countries, and marketing authorizations and pricing approvals do not ensure that reimbursement will be obtained.</w:t>
      </w:r>
    </w:p>
    <w:p>
      <w:pPr>
        <w:spacing w:after="0" w:line="18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b w:val="1"/>
          <w:bCs w:val="1"/>
          <w:i w:val="1"/>
          <w:iCs w:val="1"/>
          <w:color w:val="auto"/>
        </w:rPr>
        <w:t>We may not be able to obtain orphan drug exclusivity for our product candidates. If our competitors are able to obtain orphan drug exclusivity for their products that are the same drug as our product candidates, or can be classified as a similar medicinal product within the meaning of EU law, we may not be able to have competing products approved by the applicable regulatory authority for a significant period of time.</w:t>
      </w:r>
    </w:p>
    <w:p>
      <w:pPr>
        <w:spacing w:after="0" w:line="161"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Regulatory authorities in some jurisdictions, including the European Union and the United States, may designate drugs for relatively small patient populations as orphan drugs. We have obtained orphan drug designations from the EMA and from the FDA for Translarna for the treatment of nmDMD, nmCF, nmMPS I, and nonsense mutation aniridia. Generally, if a product with an orphan drug designation subsequently receives the first marketing authorization for the indication for which it has such designation, the product is entitled to a period of market exclusivity, which, subject to certain exceptions, precludes the EMA from accepting another marketing application for a similar medicinal product or the FDA from approving another marketing application for the same drug for the same indication for that time period. The applicable market exclusivity period is ten years in the European Union and seven years in the United States. The EU exclusivity period can be reduced to six years if a drug no longer meets the criteria for orphan drug designation, including if the drug is sufficiently profitable so that market exclusivity is no longer justified. However, in the European Union, generic medicinal products that rely on the independently generated data submitted as part of a full marketing authorization application dossier of an authorized medicinal product, a "reference product", may not be placed on the market for 10 years from the granting of the initial marketing authorization for the reference product.</w:t>
      </w:r>
    </w:p>
    <w:p>
      <w:pPr>
        <w:spacing w:after="0" w:line="17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the European Union, a "similar medicinal product" is a medicinal product containing a similar active substance or substances as contained in a currently authorized orphan medicinal product, and which is intended for the same therapeutic indication. For a drug such as Translarna, which is composed of small molecules, the FDA defines "same drug" as a drug that contains the same active moiety and is intended for the same use. Obtaining orphan drug exclusivity for Translarna for these indications, both in the European Union and in the United States, may be important to the product candidate's success. If a competitor obtains orphan drug exclusivity for and approval of a product with the same indication as Translarna before we do and if the competitor's product is the same drug or a similar medicinal product as ours, we could be excluded from the market. Even if we obtain orphan drug exclusivity for Translarna for these indications, we may not be able to maintain it. For example, if a competitive product that is the same drug or a similar medicinal product as Translarna is shown to be clinically superior to our product candidate, any orphan drug exclusivity we have obtained will not block the approval of such competitive product. In addition, orphan drug exclusivity will not prevent the approval of a product that is the same drug as Translarna if the FDA finds that we cannot assure the availability of sufficient quantities of the drug to meet the needs of the persons with the disease or condition for which the drug was designated. The same considerations would apply to any of our orphan product candidates.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b w:val="1"/>
          <w:bCs w:val="1"/>
          <w:i w:val="1"/>
          <w:iCs w:val="1"/>
          <w:color w:val="auto"/>
        </w:rPr>
        <w:t>All pharmaceutical products for which marketing authorization has been granted, including Translarna for the treatment of nmDMD in the EEA, are subject to extensive and rigorous governmental regulation and could be subject to restrictions or withdrawal from the market and we may be subject to penalties if we fail to comply with regulatory requirements or if we experience unanticipated problems with our products, when and if any of them are approved.</w:t>
      </w:r>
    </w:p>
    <w:p>
      <w:pPr>
        <w:spacing w:after="0" w:line="142"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We, Translarna, our product candidates, our operations, our facilities, our suppliers, and our contract manufacturers, distributors, and contract testing laboratories are subject to extensive regulation by governmental authorities in the EEA, the United States, and other territories, with regulations differing from country to country.</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not permitted to market our product candidates in the EEA, the United States, or other territories until we have received requisite regulatory approvals. In order to receive and maintain such approvals, we and our third-party service providers must comply on a continuous basis with a broad array of regulations related to establishment registration and product listing, manufacturing processes, risk management measures, quality and pharmacovigilance systems, pre- and post-approval clinical data, labeling, advertising and promotional activities, record keeping, distribution, and import and export of pharmaceutical products for any product for which we obtain marketing authorization. Any regulatory approval of any of our products or product candidates, once obtained, may be withdrawn. For example, our marketing authorization in the EEA is subject to annual EMA reassessment and was further conditioned on our completed submission of the final report, including additional efficacy and safety data, from ACT DMD. Accordingly, we and others with whom we work must continue to expend time, money, and effort in all areas of regulatory compliance, including manufacturing and distribution.</w:t>
      </w:r>
    </w:p>
    <w:p>
      <w:pPr>
        <w:spacing w:after="0" w:line="172"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are required to submit safety and other post-market information and reports, implement pharmacovigilance plans, and comply with cGMP requirements related to manufacturing including, quality control, quality assurance and complaints and corresponding maintenance of records and documents, requirements regarding the distribution of samples to healthcare professionals and recordkeeping, among other things, in connection with the marketing authorization for Translarna for the treatment of nmDMD described above. Regulatory authorities, including the EMA and local regulatory authorities in EEA member states, subject a marketed product, its manufacturer and the manufacturing facilities to ongoing review and periodic inspections and the EMA is responsible for coordinating inspections, undertaken by the competent authorities of applicable member states, of our manufacturing facilities to assess whether our manufacturing, and other procedures, comply with cGMP. Similar regulatory and inspection requirements apply in other jurisdictions including those imposed by the FDA in the United States.</w:t>
      </w:r>
    </w:p>
    <w:p>
      <w:pPr>
        <w:spacing w:after="0" w:line="17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Even if marketing authorization of a product candidate is granted, the approval may be subject to limitations on the indicated uses for which the product may be marketed or may be subject to significant conditions of approval, including the requirement of risk evaluation and mitigation strategy, or REMS. A regulatory authority also may impose requirements for costly post-marketing studies or clinical trials and surveillance to monitor the safety or efficacy of the product. In addition, the competent authorities of each EU member state and the FDA closely regulate the post-approval marketing and promotion of drugs to ensure drugs are marketed only for the approved indications and in accordance with the provisions of the approved labeling and regulatory requirements. Such regulatory authorities can impose stringent restrictions on manufacturers' communications regarding off-label use and if we do not comply with the laws governing promotion of approved drugs, we may be subject to enforcement action for off-label promotion. Violations of the Federal Food, Drug, and Cosmetic Act relating to the promotion of prescription drugs may lead to civil and criminal penalties, investigations alleging violations of federal and state health care fraud and abuse laws, as well as state consumer protection 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which could negatively affect our business, including:</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or restrictions on the labeling or marketing of a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implement a REMS;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marketing authorizations;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imposition of civil or criminal penalties;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debarment.</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Non-compliance with EU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9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are also subject to laws and license and registration requirements covering the distribution of marketed products. If we fail to comply with any of these requirements, we may be subject to action by regulatory agencies, which could negatively affect our business. Regulatory agencies may also change existing requirements or adopt new requirements or policies. We may be slow to adapt or may not be able to adapt to these changes or new requirements.</w:t>
      </w:r>
    </w:p>
    <w:p>
      <w:pPr>
        <w:spacing w:after="0" w:line="161"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Our initial commercial launch of Translarna has begun in, and is expected to continue to take place in, countries that tend to impose strict price controls, which may adversely affect our revenues, if any. Failure to obtain and maintain acceptable pricing and reimbursement terms for Translarna in the European Economic Area and other jurisdictions would prevent us from marketing our products in such regions.</w:t>
      </w:r>
    </w:p>
    <w:p>
      <w:pPr>
        <w:spacing w:after="0" w:line="161" w:lineRule="exact"/>
        <w:rPr>
          <w:sz w:val="20"/>
          <w:szCs w:val="20"/>
          <w:color w:val="auto"/>
        </w:rPr>
      </w:pPr>
    </w:p>
    <w:p>
      <w:pPr>
        <w:ind w:right="300" w:firstLine="351"/>
        <w:spacing w:after="0" w:line="254" w:lineRule="auto"/>
        <w:rPr>
          <w:sz w:val="20"/>
          <w:szCs w:val="20"/>
          <w:color w:val="auto"/>
        </w:rPr>
      </w:pPr>
      <w:r>
        <w:rPr>
          <w:rFonts w:ascii="Arial" w:cs="Arial" w:eastAsia="Arial" w:hAnsi="Arial"/>
          <w:sz w:val="18"/>
          <w:szCs w:val="18"/>
          <w:color w:val="auto"/>
        </w:rPr>
        <w:t>In some countries, particularly the member states of the EEA, the pricing of prescription pharmaceuticals is subject to strict governmental control. Each country in the EEA has its own pricing and reimbursement regulations and may have other regulations related to the marketing and sale of pharmaceutical products in the country. We generally will not be able to commence commercial sales of Translarna for the treatment of nmDMD pursuant to the marketing authorization granted by the European Commission in any particular member state of the EEA until we conclude the applicable pricing and reimbursement negotiations and comply with any licensing, employment or related regulatory requirements in that country. In some countries we may be required to conduct additional</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clinical trials or other studies of our product including trials that compare the cost-effectiveness of our product to other available therapies in order to obtain reimbursement or pricing approval. We may not be able to conclude pricing and reimbursement negotiations or comply with additional regulatory requirements in the countries in which we seek to commercialize Translarna on a timely basis, or at all.</w:t>
      </w:r>
    </w:p>
    <w:p>
      <w:pPr>
        <w:spacing w:after="0" w:line="19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pricing and reimbursement process varies from country to country and can take over 18 months to complete. Pricing negotiations may continue after reimbursement has been obtained. We cannot predict the timing of Translarna's commercial launch in countries where we are awaiting pricing and reimbursement guidelines. While we have submitted pricing and reimbursement dossiers with respect to Translarna for the treatment of nmDMD in key EEA countries, we have not received both pricing and reimbursement approval in these key countries on terms that are acceptable to us. For example, based on unsustainable economics imposed by the arbitration board in Germany upon the recent conclusion of an arbitration process with us and the German Federal Association of the Statutory Health Insurances (GKV-Spitzenverband), we expect to delist Translarna from the German pharmacy ordering system. Under these circumstances, patients and healthcare professionals in Germany may be able to access Translarna through a reimbursed importation pathway possible under German law, however, there can be no assurance that they will be successful in such an endeavor.</w:t>
      </w:r>
    </w:p>
    <w:p>
      <w:pPr>
        <w:spacing w:after="0" w:line="172" w:lineRule="exact"/>
        <w:rPr>
          <w:sz w:val="20"/>
          <w:szCs w:val="20"/>
          <w:color w:val="auto"/>
        </w:rPr>
      </w:pPr>
    </w:p>
    <w:p>
      <w:pPr>
        <w:ind w:right="160" w:firstLine="351"/>
        <w:spacing w:after="0" w:line="287" w:lineRule="auto"/>
        <w:rPr>
          <w:sz w:val="20"/>
          <w:szCs w:val="20"/>
          <w:color w:val="auto"/>
        </w:rPr>
      </w:pPr>
      <w:r>
        <w:rPr>
          <w:rFonts w:ascii="Arial" w:cs="Arial" w:eastAsia="Arial" w:hAnsi="Arial"/>
          <w:sz w:val="16"/>
          <w:szCs w:val="16"/>
          <w:color w:val="auto"/>
        </w:rPr>
        <w:t>In addition, the price that is approved by local governmental authorities pursuant to commercial pricing and reimbursement processes may be significantly lower than the price we are able to charge for sales under our reimbursed early access programs. In some instances, reimbursement may be subject to challenge, reduction or denial by the government and other payers. In some countries, such as France, EAP and commercial sales of a product can begin while pricing and reimbursement rates are under discussion with the applicable government health programs. In the event that the negotiated price of the product is lower than the amount reimbursed for sales made prior to the conclusion of price negotiations, the company may become obligated to repay such excess amount to the applicable government health program. We will make such retroactive reimbursement, if any, following the conclusion of price negotiations with the applicable government health authority. For example, in Germany, we were permitted under local law to sell product on a commercial basis for the one-year period commenced December 2014 while market access discussions were held, but we are required to reimburse payors in Germany the difference between the commercial price of Translarna and the unsustainable price established by the arbitration board in Germany for sales made in Germany during the period of December 2015 until such time as we delist Translarna from the German pharmacy ordering system.</w:t>
      </w:r>
    </w:p>
    <w:p>
      <w:pPr>
        <w:spacing w:after="0" w:line="17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Political, economic and regulatory developments may further complicate pricing and reimbursement negotiations and there can be considerable pressure by governments and other stakeholders on prices and reimbursement levels, including as part of cost containment measures. For example, we have been engaged in market access discussions with National Health Services (NHS) England and National Institute for Health and Care Excellence (NICE) since 2014. During the fourth quarter of 2014, NHS England determined to reconsider how it assesses certain new treatments and postponed certain pricing and reimbursement meetings, including meetings related to Translarna, and in July 2015 determined that final funding decisions on Translarna for nmDMD will be made after the conclusion of a specialized appraisal process by NICE. In February 2016, we had constructive discussions with NHS England regarding a managed access agreement, pursuant to which Translarna could potentially be made available to qualified nmDMD patients for the period of time established under a future final agreement. However, these interim discussions regarding the managed access agreement remain subject to a final positive outcome from the specialized appraisal process by NICE. In addition, the potential provision of access to Translarna in England is subject to actual reimbursement decisions by NHS England.</w:t>
      </w:r>
    </w:p>
    <w:p>
      <w:pPr>
        <w:spacing w:after="0" w:line="17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Reference pricing used by various EU member states and parallel distribution, or arbitrage between low-priced and high-priced member states, can further reduce prices. Publication of discounts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third-party payors or authorities may lead to further pressure on prices or reimbursement levels within the country of publication and other countries.</w:t>
      </w:r>
    </w:p>
    <w:p>
      <w:pPr>
        <w:spacing w:after="0" w:line="248"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If we fail to successfully secure and maintain pricing and reimbursement coverage for Translarna or are significantly delayed in doing so or if burdensome conditions are imposed by private payers, government authorities or other third-party payers on such reimbursement, planned launches in the affected countries will be delayed and our anticipated revenue and growth prospects could be negatively affected and our business could be adversely affected.</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relationships with customers, healthcare providers and professionals and third-party payors are or will be subject to applicable anti-kickback, fraud and abuse, transparency and other healthcare laws and regulations, which could expose us to criminal sanctions, civil penalties, contractual damages, reputational harm and diminished profits and future earnings.</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any products or product candidates, including Translarna. Our arrangements with customers, healthcare providers and professionals and third-party payors may expose us to broadly applicable fraud and abuse, transparency and other healthcare laws and regulations that may constrain the business or financial arrangements and relationships through which we market, sell and distribute our products for which we obtain marketing authorization.</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Failure to maintain a comprehensive and effective compliance program, and to integrate the operations of any acquired businesses into a combined comprehensive and effective compliance program on a timely basis, could subject us to a range of regulatory actions that could affect our ability to commercialize our products and could harm or prevent sales of the affected products, or could substantially increase the costs and expenses of commercializing and marketing our products.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Restrictions and reporting requirements under applicable federal and state healthcare laws and regulations, and equivalent laws and regulations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European Union, include, and are not limited to, the following:</w:t>
      </w:r>
    </w:p>
    <w:p>
      <w:pPr>
        <w:spacing w:after="0" w:line="232" w:lineRule="exact"/>
        <w:rPr>
          <w:sz w:val="20"/>
          <w:szCs w:val="20"/>
          <w:color w:val="auto"/>
        </w:rPr>
      </w:pPr>
    </w:p>
    <w:p>
      <w:pPr>
        <w:ind w:left="1080" w:hanging="532"/>
        <w:spacing w:after="0" w:line="288"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Anti-corruption and anti-bribery statutes, including the U.S. Foreign Corrupt Practices Act, or FCPA, and the UK Bribery Act of 2010, or Bribery Act. These statutes are generally broad in scope and will require us to make and keep books and records that accurately and fairly reflect the transactions of the company and to devise and maintain an adequate system of internal accounting controls. The FCPA prohibits the offering, promising, giving, or authorizing others to give anything of value, either directly or indirectly, to a non-U.S. government official in order to improperly influence any act or decision, secure any other improper advantage, or obtain or retain business. Under the UK Bribery Act, companies which carry on a business or part of a business in the United Kingdom may be held liable for bribes given, offered or promised to any person, including non-UK government officials and private persons, by employees and persons associated with the company in order to obtain or retain business or a business advantage for the company. Other countries have adopted, or may adopt in the future, similar anti-corruption and anti-bribery statutes with which we may be required to comply.</w:t>
      </w:r>
    </w:p>
    <w:p>
      <w:pPr>
        <w:spacing w:after="0" w:line="200" w:lineRule="exact"/>
        <w:rPr>
          <w:rFonts w:ascii="Arial" w:cs="Arial" w:eastAsia="Arial" w:hAnsi="Arial"/>
          <w:sz w:val="16"/>
          <w:szCs w:val="16"/>
          <w:color w:val="auto"/>
        </w:rPr>
      </w:pPr>
    </w:p>
    <w:p>
      <w:pPr>
        <w:ind w:left="1080" w:right="80" w:hanging="532"/>
        <w:spacing w:after="0" w:line="254"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Anti-kickback statutes, which generally prohibit,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government funded healthcare programs. The U.S. federal statute has been broadly interpreted to apply to manufacturer arrangements with prescribers, purchasers and formulary managers, among others and many states have enacted equivalent state laws that apply not only to government payors but commercial payors. Several other countries, including the United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Kingdom, have enacted similar anti-kickback, fraud and abuse, and healthcare laws and regulations.</w:t>
      </w:r>
    </w:p>
    <w:p>
      <w:pPr>
        <w:spacing w:after="0" w:line="239" w:lineRule="exact"/>
        <w:rPr>
          <w:sz w:val="20"/>
          <w:szCs w:val="20"/>
          <w:color w:val="auto"/>
        </w:rPr>
      </w:pPr>
    </w:p>
    <w:p>
      <w:pPr>
        <w:ind w:left="1080" w:right="180" w:hanging="532"/>
        <w:spacing w:after="0" w:line="298"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Patient Protection and Affordable Care Act of 2010, as amended by the Health Care and Education Reconciliation Act of 2010 (collectively the Affordable Care Act), amended the intent requirement of the federal anti-kickback statute such that a person no longer needs to have actual knowledge of the statue or specific intent to violate it. In addition, the government may assert that a claim including items or services resulting from a violation of the federal anti-kickback statute constitutes a false or fraudulent claim for purposes of the U.S. False Claims Act.</w:t>
      </w:r>
    </w:p>
    <w:p>
      <w:pPr>
        <w:spacing w:after="0" w:line="193"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Affordable Care Act also added a provision requiring certain providers and suppliers of services to Federal Health Care Programs to report and return overpayments within sixty days after they are "identified" (the "Overpayment Statute"). In February 2016, the Centers for Medicare and Medicaid Services ("CMS") released long-awaited regulatory guidance (in the form of a final rule) to Medicare Part A and Part B providers and suppliers regarding how to comply with the Overpayment Statute. CMS had previously released a final rule addressing overpayments involving Medicare Part C and Part D providers in May 2014. Although Medicare Part A/B/C/D providers and suppliers have faced federal False Claims Act liability since 2010 for failures to comply with the Overpayment Statute, these final rules interpreting the Overpayment Statute provide guidance to providers and suppliers regarding how to comply appropriately with applicable obligations, and guidance to government regulators and enforcement authorities regarding monitoring and prosecuting suspected violations. Although not directly applicable to us, this final rule may impact our customers and potential customers who are Medicare providers and suppliers.</w:t>
      </w:r>
    </w:p>
    <w:p>
      <w:pPr>
        <w:spacing w:after="0" w:line="187"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Laws and regulations, including the U.S. False Claims Act, which impose civil and criminal liability on individuals and entities who submit, or cause to be submitted, false or fraudulent claims for payment to the government. The U.S. government has brought False Claims Act actions against pharmaceutical companies on the theory that their practices have caused false claims to be submitted to the government. The U.S. Attorneys' Offices and the main Department of Justice have taken broad interpretations of what constitutes falsity or false claims. A wide range of pharmaceutical manufacturers' commercial activity, marketing practices and price reporting practices have been scrutinized as potential violations of the False Claims Act.</w:t>
      </w:r>
    </w:p>
    <w:p>
      <w:pPr>
        <w:spacing w:after="0" w:line="211" w:lineRule="exact"/>
        <w:rPr>
          <w:rFonts w:ascii="Arial" w:cs="Arial" w:eastAsia="Arial" w:hAnsi="Arial"/>
          <w:sz w:val="18"/>
          <w:szCs w:val="18"/>
          <w:color w:val="auto"/>
        </w:rPr>
      </w:pPr>
    </w:p>
    <w:p>
      <w:pPr>
        <w:ind w:left="1080" w:right="40" w:hanging="532"/>
        <w:spacing w:after="0" w:line="290"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HIPAA also imposes obligations, including mandatory contractual terms, with respect to safeguarding the privacy, security and transmission of individually identifiable health information, and imposes criminal and civil liability for violations of these obligations. In addition, international data protection laws including the European Union Data Protection Directive and member state implementing legislation may apply to some or all of the clinical data obtained outside of the United States. Furthermore, certain privacy laws and genetic testing laws may apply directly to our operations and/or those of our collaborators and may impose restrictions on our use and dissemination of individuals' health information.</w:t>
      </w:r>
    </w:p>
    <w:p>
      <w:pPr>
        <w:spacing w:after="0" w:line="199"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also imposes criminal liability for knowingly and willfully falsifying, concealing or covering up a material fact or making any materially false statement in connection with the delivery of or payment for healthcare benefits, items or services.</w:t>
      </w:r>
    </w:p>
    <w:p>
      <w:pPr>
        <w:spacing w:after="0" w:line="199"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Laws and regulations regulating off-label promotion. Off-label promotion of medicinal products is prohibited in the European Union. The applicable laws at European Union level and in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7" w:lineRule="auto"/>
        <w:rPr>
          <w:sz w:val="20"/>
          <w:szCs w:val="20"/>
          <w:color w:val="auto"/>
        </w:rPr>
      </w:pPr>
      <w:r>
        <w:rPr>
          <w:rFonts w:ascii="Arial" w:cs="Arial" w:eastAsia="Arial" w:hAnsi="Arial"/>
          <w:sz w:val="16"/>
          <w:szCs w:val="16"/>
          <w:color w:val="auto"/>
        </w:rPr>
        <w:t>individual EU member states also prohibit the direct-to-consumer advertising of prescription- 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 Under the Federal Food, Drug and Cosmetic Act and other laws, if any of our product candidates are approved, we would be prohibited from promoting our products for off-label uses. This means, for example, that we would not be able to make claims about the use of our marketed products outside of their approved indications, and we would not be able to proactively discuss or provide information on off-label uses of such products, with very specific and limited exceptions. The FDA does not, however, restrict physicians from prescribing products for off-label uses in the practice of medicine. Should the FDA determine that our activities constituted the promotion of off-label use, the FDA could bring action to prevent us from distributing those products for the off-label use and could impose fines and penalties on us and our executives.</w:t>
      </w:r>
    </w:p>
    <w:p>
      <w:pPr>
        <w:spacing w:after="0" w:line="190" w:lineRule="exact"/>
        <w:rPr>
          <w:sz w:val="20"/>
          <w:szCs w:val="20"/>
          <w:color w:val="auto"/>
        </w:rPr>
      </w:pPr>
    </w:p>
    <w:p>
      <w:pPr>
        <w:ind w:left="1080" w:hanging="532"/>
        <w:spacing w:after="0" w:line="254"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Statutory requirements to disclose publicly payments made to physicians, including in certain EU member states and the United States. For example, in the U.S., under the federal Physician Payments Sunshine Act requirements, manufacturers of drugs, devices, biologics and medical supplies must report information related to payments and other transfers of value made to or at the request of covered recipients, such as physicians and teaching hospitals, as well as physician ownership and investment interests in such manufacturers. A number of states have enacted their own transparency requirements that obligate manufacturers to report different types of spending related to physicians and other covered recipients.</w:t>
      </w:r>
    </w:p>
    <w:p>
      <w:pPr>
        <w:spacing w:after="0" w:line="225" w:lineRule="exact"/>
        <w:rPr>
          <w:rFonts w:ascii="Arial" w:cs="Arial" w:eastAsia="Arial" w:hAnsi="Arial"/>
          <w:sz w:val="18"/>
          <w:szCs w:val="18"/>
          <w:color w:val="auto"/>
        </w:rPr>
      </w:pPr>
    </w:p>
    <w:p>
      <w:pPr>
        <w:ind w:left="1080" w:right="180" w:hanging="532"/>
        <w:spacing w:after="0" w:line="254"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Laws governing the advertising and promotion of medicinal products, interactions with physicians and patients, misleading and comparative advertising and unfair commercial practices. For example, legislation adopted by individual EU member states that may apply to the advertising and promotion of medicinal products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Promotion of indications not covered by the SmPC is specifically prohibited.</w:t>
      </w:r>
    </w:p>
    <w:p>
      <w:pPr>
        <w:spacing w:after="0" w:line="211"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false claims and privacy laws, may apply to our sales or marketing arrangements, claims involving healthcare items or services reimbursed by non-governmental third-party payors, including private insurers, or other activities.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17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interactions between pharmaceutical companies and physicians are also governed by industry self-regulation codes of conduct and physicians' codes of professional conduct. 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laws of the EU member states, as well as codes of conduct issued by self-regulatory industry bodies. Moreover, agreements with physicians must often be the subject of prior notification and approval by the physician's employer, their competent professional organization, and the competent authorities of the individual EU member states. These requirements are provided in the national laws, industry codes, or professional codes of conduct, applicable in the EU member states.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regulations, transparency requirements and self-regulatory codes will involve substantial costs. We cannot guarantee that we, our employees, our consultants or our third-party contractors are or will be in compliance with all federal, state and foreign regulations and codes.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reputational harm, and the curtailment or restructuring of our operations. Exclusion, suspension and debarment from government funded healthcare programs would significantly impact our ability to commercialize, sell or distribute any drug. Even if we are not determined to have violated these laws, government investigations into these issues typically require the expenditure of significant resources and generate negative publicity, which could also have an adverse effect on our business, financial condition and results of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18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authorization of and commercialize our product candidates and affect the prices we may obtain.</w:t>
      </w:r>
    </w:p>
    <w:p>
      <w:pPr>
        <w:spacing w:after="0" w:line="186"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authorization of Translarna or any of our other product candidates, restrict or regulate post-approval activities and affect our ability to profitably sell any product candidates, including Translarna, for which we obtain marketing authorization.</w:t>
      </w:r>
    </w:p>
    <w:p>
      <w:pPr>
        <w:spacing w:after="0" w:line="16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Medicare Modernization Act, changed the way Medicare covers and pays for pharmaceutical products. The legislation expanded Medicare coverage for drug purchases by the elderly and introduced a new reimbursement methodology based on average sales prices for physician 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72"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March 2010, President Obama signed into law the Affordable Care Act,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Effective October 1, 2010, the Affordable Care Act revised the definition of "average manufacturer price" for reporting purposes, which could increase the amount of Medicaid drug rebates to states. Further, the new law imposes a significant annual fee on companies that manufacture or import branded prescription drug products.</w:t>
      </w:r>
    </w:p>
    <w:p>
      <w:pPr>
        <w:spacing w:after="0" w:line="170"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There have been multiple attempts through legislative action and legal challenge to repeal or amend the Affordable Care Act. Although the U.S. Supreme Court in King v. Burwell upheld the use of subsidies to individuals in federally facilitated health care exchanges on June 25, 2015, which ultimately did not disrupt significantly the implementation of the Affordable Care Act, we cannot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predict whether other current or future efforts to repeal or amend these laws will be successful, nor can we predict the impact that such a repeal or amendment would have on our business and operations, or on our results of operations. In addition, there are numerous steps required to implement the Affordable Care Act, and implementation remains ongoing. Congress also has enacted, and may continue to seek, legislative changes that alter, delay, or eliminate some of its provisions. On February 1, 2016, the Centers for Medicare and Medicaid Services released a long-awaited new rule, the Medicaid Program Covered Outpatient Drug Final Rule, effective April 1, 2016, implementing various provisions of the Affordable Care Act related to "covered outpatient drugs," including revising the calculation of "average manufacturer price" and addressing other issues relating to Medicaid price reporting and reimbursement. These and other changes contribute to the uncertainty of the ongoing implementation and impact of the Affordable Care Act; they also underscore the potential for additional reform going forward. Certain provisions of enacted or proposed legislative changes may negatively impact coverage and reimbursement of healthcare items and services. We cannot assure that the Affordable Care Act,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7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authorizations of our product candidates, if any, may be. In addition, increased scrutiny by the U.S. Congress of the FDA's approval process may significantly delay or prevent marketing authorization, as well as subject us to more stringent product labeling and post-marketing testing and other requirements.</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the European Union, similar political, economic and regulatory developments may affect our ability to profitably commercialize Translarna and our product candidates.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our chief executive officer and other key executives and to attract, retain and motivate qualified personnel.</w:t>
      </w:r>
    </w:p>
    <w:p>
      <w:pPr>
        <w:spacing w:after="0" w:line="26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are highly dependent on Dr. Stuart W. Peltz, our co-founder and Chief Executive Officer, and the other principal members of our executive and scientific teams. Although we have formal employment agreements with each of our executive officers, these agreements do not prevent our executives from terminating their employment with us at any time. We do not maintain "key person" insurance on any of our executive officers. The loss of the services of any of these persons might impede the achievement of our research, development and commercialization objectives.</w:t>
      </w:r>
    </w:p>
    <w:p>
      <w:pPr>
        <w:spacing w:after="0" w:line="167"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are in the process of expanding our development, regulatory, and sales and marketing capabilities, and as a result, we may encounter difficulties in managing our growth, which could disrupt our operations.</w:t>
      </w:r>
    </w:p>
    <w:p>
      <w:pPr>
        <w:spacing w:after="0" w:line="186"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connection with our commercialization plans and business strategy, including our commercial launch of Translarna for the treatment of nmDMD, we have experienced and may to continue to experience significant growth in our employee base for sales, marketing, operational, managerial, financial, human resources, drug development, quality, regulatory and medical affairs and other areas. This growth has imposed and will continue to impose significant added responsibilities on members of management, including the need to recruit, hire, retain, motivate and integrate additional employees. Also, our management may have to divert a disproportionate amount of its attention away from our day-to-day activities and devote a substantial amount of time to managing these growth activities. To manage our recent and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b w:val="1"/>
          <w:bCs w:val="1"/>
          <w:i w:val="1"/>
          <w:iCs w:val="1"/>
          <w:color w:val="auto"/>
        </w:rPr>
        <w:t>Servicing the Convertible Notes will require a significant amount of cash. We may not have sufficient cash flow from our business to make payments on our debt, and we may not have the ability to raise the funds necessary to settle conversions of, or to repurchase, the Convertible Notes upon a fundamental change, which could adversely affect our business, financial condition and results of operations.</w:t>
      </w:r>
    </w:p>
    <w:p>
      <w:pPr>
        <w:spacing w:after="0" w:line="16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August 2015, we incurred indebtedness in the amount of $150.0 million in aggregate principal with additional accrued interest under the 3.00% convertible senior notes due August 15, 2022, or the Convertible Notes, for which interest is payable semi-annually in arrears on February 15 and August 15 of each year, beginning on February 15, 2016. 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our debt, including the Convertible Notes. If we are unable to generate cash flow, we may be required to adopt one or more alternatives, such as selling assets, restructuring debt or obtaining additional equity capital on terms that may be unfavorable to us or highly dilutive. Our ability to refinance our indebtedness will depend on the capital markets and our financial condition at the time we seek to refinance such indebtedness. We may not be able to engage in any of these activities or engage in these activities on desirable terms, which could result in a default on our debt obligations.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upon conversion of the Convertible Notes unless we elect to deliver solely shares of our common stock to settle such conversion (other than paying cash in lieu of delivering any fractional shares), we will be required to make cash payments in respect of the Convertible Notes being converted. However, we may not have enough available cash or be able to obtain financing at the time we are required to repurchase Convertible Notes, to pay the Convertible Notes at maturity or to pay cash upon conversions of Convertible Notes. In addition, our ability to repurchase Convertible Notes or to pay cash upon conversions of Convertible Notes may be limited by law, by regulatory authority or by agreements governing our future indebtedness. Our failure to repurchase Convertible Notes at a time when the repurchase is required by the indenture, to make interest payments on the Convertible Notes when due under the indenture or to pay any cash payable on future conversions of the Convertible Notes as required by the indenture would constitute a default under the indenture. An event of default under the indenture governing the Convertible Notes or the fundamental change itself could also lead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a default under agreements governing our future indebtedness. If the repayment of any such related indebtedness were to be accelerated after any applicable notice or grace periods, we may not have sufficient funds to repay the indebtedness, repurchase the Convertible Notes, make interest payments on the Convertible Notes or make cash payments upon conversions of the Convertible Notes. In addition, even if holders of the Convertible Notes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 Any of these factors could materially and adversely affect our business, financial condition and results of operations.</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1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not all members of the board are elected at one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8"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21"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86"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Our shares of common stock began trading on The NASDAQ Global Select Market on June 20, 2013. Given the limited trading history of our common stock, there is a risk that an active trading market for our common stock will not be sustained, which could put downward pressure on the market price of our common stock and thereby affect the ability of our stockholders to sell their shares.</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and lawsuits against us and our officers and directors.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stock price has been and will likely continue to be volatile.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common stock at or above the price at which they purchased it. The market price for our common stock may be influenced by many factors, including:</w:t>
      </w:r>
    </w:p>
    <w:p>
      <w:pPr>
        <w:spacing w:after="0" w:line="211" w:lineRule="exact"/>
        <w:rPr>
          <w:sz w:val="20"/>
          <w:szCs w:val="20"/>
          <w:color w:val="auto"/>
        </w:rPr>
      </w:pPr>
    </w:p>
    <w:p>
      <w:pPr>
        <w:ind w:left="1080" w:right="10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developments related to our ability or inability to resolve the matters set forth in the Refuse to File letter we received from the FDA in connection with our NDA for Translarna for the treatment of nmDMD, including whether we will be required to complete any additional clinical and non-clinical trials or analyses;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developments concerning our regulatory submissions with the EMA for Translarna for the treatment of nmDMD and for the treatment of nmCF;</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EMA and regulators in other territories agree with our interpretation of the results of ACT DMD;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advance the commercialization of Translarna for the treatment of nmDMD;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Translarna and any other product candidate that we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development and regulatory status of our SMA program with Roche and the SMA Foundation;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Companies that have experienced volatility in the market price of their stock have frequently been the subject of securities class action and shareholder derivative litigation. Due to the volatility of our stock price, we could be the target of such litigation in the future. Class action and derivative lawsuits, whether successful or not, could result in substantial costs, damage or settlement awards and a diversion of our management's resources and attention from running our business, which could materially harm our reputation,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currently incurring and expect to continue to incur increased costs as a result of operating as a public company, including compliance with</w:t>
      </w:r>
    </w:p>
    <w:p>
      <w:pPr>
        <w:spacing w:after="0" w:line="3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Section 404 of the Sarbanes-Oxley Act of 2002, and our management is and will continue to be required to devote substantial time to compliance initiatives. In addition, the failure to establish and maintain adequate finance infrastructure and accounting systems and controls could impair our ability to comply with the financial reporting and internal controls requirements for publicly traded companies.</w:t>
      </w:r>
    </w:p>
    <w:p>
      <w:pPr>
        <w:spacing w:after="0" w:line="163"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In addition, the Sarbanes-Oxley Act of 2002, the Dodd-Frank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have and will need to continue to devote a substantial amount of time to these compliance initiatives. Moreover, these rules and regulations have and will continue to increase our legal and financial compliance costs and will continue to make some activities more time-consuming and costly. For example, these rules and regulations have made it more difficult and more expensive for us to obtain director and officer liability insurance.</w:t>
      </w:r>
    </w:p>
    <w:p>
      <w:pPr>
        <w:spacing w:after="0" w:line="201"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Pursuant to Section 404 of the Sarbanes-Oxley Act of 2002, or Section 404, we are required to furnish a report by our management on the effectiveness of our internal control over financial reporting and an attestation report on internal control over financial reporting issued by our independent registered public accounting firm. Compliance with Section 404, including documentation and evaluation of our internal control over financial reporting, is both costly and challenging. If we are not able to comply with the requirements of Section 404 of the Sarbanes-Oxley Act in a timely manner each year, we could be subject to sanctions or investigations by the Securities and Exchange Commission, the NASDAQ Stock Market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in the foreseeable future, capital appreciation, if any, will be our stockholders sole source of gain.</w:t>
      </w:r>
    </w:p>
    <w:p>
      <w:pPr>
        <w:spacing w:after="0" w:line="186" w:lineRule="exact"/>
        <w:rPr>
          <w:sz w:val="20"/>
          <w:szCs w:val="20"/>
          <w:color w:val="auto"/>
        </w:rPr>
      </w:pPr>
    </w:p>
    <w:p>
      <w:pPr>
        <w:ind w:right="460" w:firstLine="348"/>
        <w:spacing w:after="0" w:line="306"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development and growth of our business. In addition, the terms of any future debt agreements may preclude us from paying dividends. As a result, capital appreciation, if any, of our common stock will be our stockholders sole source of gain for the foreseeable future.</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significantly reduce the market price of our common stock.</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Certain holders of an aggregate of 764,036 shares of our common stock have rights, subject to some conditions, to require us to file registration statements covering their shares or to include their shares in registration statements that we may file for ourselves or other stockholders.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issued a significant number of equity awards under our equity compensation plans or as inducement grants to new hire employees pursuant to Nasdaq rules. The shares underlying these awards are or, with respect to certain option grants, will be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or the sale of restricted stock upon vesting could cause a decline in our stock price. These sales also might make it difficult for us to sell equity securities in the future at a time and at a price that we deem appropriate.</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Certain of our employees, executive officers and directors have entered or may enter into Rule 10b5-1 plans providing for sales of shares of our common stock from time to time. Under a Rule 10b5-1 plan, a broker executes trades pursuant to parameters established by the employee, director or officer when entering into the plan, without further direction from the employee, officer or director. A Rule 10b5-1 plan may be amended or terminated in some circumstances. Our employees, executive officers and directors may also buy or sell additional shares outside of a Rule 10b5-1 plan when they are not in possession of material, nonpublic information.</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Our principal facilities consist of approximately 90,000 square feet of research and office space located at 100, 200 and 250 Corporate Court, Middlesex Business Center, South Plainfield, New Jersey, that we occupy under a lease that expires in 2019, with two consecutive five-year renewal options to renew the lease after 2019. We also lease space in Ireland and other European countries to support our operations as a global organization, but these leases are not material to us.</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From time to time in the ordinary course of our business, we are subject to claims, legal proceedings and disputes, including as a result of patients seeking to participate in our clinical trials or otherwise gain access to our product candidates. We are not currently aware of any material legal proceedings against us.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Issuers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has been publicly traded on the NASDAQ Global Select Market under the symbol "PTCT" since June 20, 2013. Prior to that time, there was no public market for our common stock.</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sales prices per share of our common stock as reported on the NASDAQ Global Select Market:</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2014</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34.65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16.21</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14.51</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47.20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22.70</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33.02</w:t>
            </w: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46.92</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78.72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46.17</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24.63</w:t>
            </w:r>
          </w:p>
        </w:tc>
      </w:tr>
      <w:tr>
        <w:trPr>
          <w:trHeight w:val="222"/>
        </w:trPr>
        <w:tc>
          <w:tcPr>
            <w:tcW w:w="64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35.76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22.67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of February 25, 2016, there were 39 holders of record of our common stock. This number does not include beneficial owners whose shares are held in street name.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have never declared or paid cash dividends on our common stock, and we do not expect to pay any cash dividends on our common stock in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Inducement stock option awards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Pursuant to the NASDAQ inducement grant exception, during the year ended December 31, 2015, we issued options to purchase an aggregate of 806,600 shares of common stock to certain new hire employees at a weighted-average exercise price of $50.46 per share. An aggregate of 84,150 of these options were forfeited during the year ended December 31, 2015 in connection with employee separations from the company. The shares underlying these option awards will be registered on a Form S-8 registration statement prior to the first vesting event applicable to each such award.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table sets forth certain financial data with respect to our business. The selected consolidated financial data is derived from, and should be read in conjunction with, our Consolidated Financial Statements and related Notes and Item 7, "Management's Discussion and Analysis of Financial Condition and Results of Operations", and other information contained elsewhere in this Annual Report on Form 10-K.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8"/>
          </w:tcPr>
          <w:p>
            <w:pPr>
              <w:jc w:val="right"/>
              <w:ind w:right="20"/>
              <w:spacing w:after="0" w:line="142" w:lineRule="exact"/>
              <w:rPr>
                <w:sz w:val="20"/>
                <w:szCs w:val="20"/>
                <w:color w:val="auto"/>
              </w:rPr>
            </w:pPr>
            <w:r>
              <w:rPr>
                <w:rFonts w:ascii="Arial" w:cs="Arial" w:eastAsia="Arial" w:hAnsi="Arial"/>
                <w:sz w:val="14"/>
                <w:szCs w:val="14"/>
                <w:b w:val="1"/>
                <w:bCs w:val="1"/>
                <w:color w:val="auto"/>
                <w:w w:val="94"/>
              </w:rPr>
              <w:t>(In thousands, except per share data)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product revenue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Collaboration and grant revenue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105,412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105,412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58,677</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Loss (income) from operations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(167,130)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(99,413)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(26,808)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30,582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1140"/>
              <w:spacing w:after="0"/>
              <w:rPr>
                <w:sz w:val="20"/>
                <w:szCs w:val="20"/>
                <w:color w:val="auto"/>
              </w:rPr>
            </w:pPr>
            <w:r>
              <w:rPr>
                <w:rFonts w:ascii="Arial" w:cs="Arial" w:eastAsia="Arial" w:hAnsi="Arial"/>
                <w:sz w:val="18"/>
                <w:szCs w:val="18"/>
                <w:color w:val="auto"/>
                <w:w w:val="90"/>
              </w:rPr>
              <w:t>(Loss) income before income tax (expense) benefit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(26,235)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28,599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(170,447)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(26,235)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30,905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0"/>
              </w:rPr>
              <w:t>Gain on exchange of convertible preferred stock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connection with recapitalization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159,954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Less beneficial conversion charge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82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Net (loss) income attributable to common</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(170,447)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(93,753)</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(66,432)</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133,341</w:t>
            </w:r>
          </w:p>
        </w:tc>
        <w:tc>
          <w:tcPr>
            <w:tcW w:w="10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30,905</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3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 income attributable to common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per share: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219.76</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95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66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(5.07)</w:t>
            </w:r>
          </w:p>
        </w:tc>
        <w:tc>
          <w:tcPr>
            <w:tcW w:w="2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(2.97)</w:t>
            </w:r>
          </w:p>
        </w:tc>
        <w:tc>
          <w:tcPr>
            <w:tcW w:w="2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(5.18)</w:t>
            </w:r>
          </w:p>
        </w:tc>
        <w:tc>
          <w:tcPr>
            <w:tcW w:w="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33,626,248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31,565,310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12,829,411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33,626,248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31,565,310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12,829,411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17,205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5,729</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3"/>
              </w:rPr>
              <w:t>Cash, cash equivalents, and marketable securities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338,925</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315,241</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142,467</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(10,091)</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assets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368,041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333,219</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151,903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44,148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Accumulated deficit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(592,998)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(422,551)</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(328,798)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(277,224)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(250,612)</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(deficiency)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226,001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(238,605)</w:t>
            </w: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financial statements and the notes to those financial statements appearing elsewhere in this Annual Report on Form 10-K. This discussion contains forward-looking statements that involve significant risks and uncertainties. As a result of many factors, such as those set forth in Part I, Item 1A. Risk Factors, of this Annual Report on Form 10-K, our actual results may differ materially from those anticipated in these forward-looking statements.</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are a global biopharmaceutical company focused on the discovery, development and commercialization of orally administered, small molecule therapeutics targeting an area of RNA biology we refer to as post-transcriptional control. We have discovered all of our compounds currently under development using our proprietary technologies. We plan to continue to develop these compounds both on our own and through selective collaboration arrangements with leading pharmaceutical and biotechnology companies. Our internally discovered pipeline addresses multiple therapeutic areas, including rare disorders and oncology.</w:t>
      </w:r>
    </w:p>
    <w:p>
      <w:pPr>
        <w:spacing w:after="0" w:line="197"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During the year ended December 31, 2015, we recognized $33.7 million in sales of Translarna™ (ataluren), our lead product, for the treatment of nonsense mutation Duchenne muscular dystrophy, or nmDMD. Translarna is currently available in over 20 countries on a commercial basis or through a reimbursed early access program, or EAP. We hold worldwide commercialization rights to Translarna for all indications in all territories.</w:t>
      </w:r>
    </w:p>
    <w:p>
      <w:pPr>
        <w:spacing w:after="0" w:line="16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the evening of February 22, 2016, we received a Refuse to File letter from the United States Food and Drug Administration, or FDA, regarding our New Drug Application, or NDA, for Translarna for the treatment of nmDMD. The FDA stated in the Refuse to File letter that our NDA was not sufficiently complete to permit a substantive review. Specifically, we were notified in the letter that, in the view of the FDA, both the Phase 2b and Phase 3 ACT DMD trials were negative and do not provide substantial evidence of effectiveness. Additionally, the FDA stated that we had proposed a post-hoc adjustment of ACT DMD that eliminates data from a majority of enrolled patients. We need further discussion with FDA to understand their current perspective on our subgroup analysis. In addition, the FDA noted that our NDA does not contain adequate information regarding the abuse potential of Translarna. While other comments and requests are noted in the letter as items to be addressed if the NDA is resubmitted, the FDA specified that they were not related to its refusal to file our NDA. See "Item 1. Business—Marketing authorization matters for Translarna in nonsense mutation Duchenne muscular dystrophy—United States" and "Item 1A. Risk Factors— Risks Related to Regulatory Approval of our Product and our Product Candidates" for further detail regarding the Refuse to File letter and the related risks to our business.</w:t>
      </w:r>
    </w:p>
    <w:p>
      <w:pPr>
        <w:spacing w:after="0" w:line="17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 October 2015, we announced results from ACT DMD. In the overall intent-to-treat, or ITT, study population, the primary endpoint of change from baseline at week 48 in the 6-minute walk test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or 6MWT, which we also refer to as 6-minute walk distance, or 6MWD, showed a 15 meter benefit in favor of Translarna (p=0.213), which did not meet statistical significance. However, we believe that the results of ACT DMD and the totality of clinical data across our two large, randomized, placebo-controlled trials (ACT DMD and our prior Phase 2b trial, Study 007), provide substantial evidence of the effectiveness of Translarna and demonstrate a clinically meaningful benefit of Translarna for the treatment of nmDMD. Importantly, a benefit of 47 meters (nominal p=0.007) was observed in the pre-specified patient population with baseline 6MWD of 300 to 400 meters, which is in line with our prior experience in the Phase 2b trial and is consistent with the evolving understanding of the natural history of the 6MWT in DMD patients. Translarna also showed a benefit over placebo in the 300 to 400 meter baseline 6MWD population across key secondary and tertiary endpoints, including timed function tests (10 meter run/walk, four stair climb, four stair descend) and the North Star Ambulatory Assessment test. In addition, a pre-specified meta-analysis of combined data from ACT DMD and Phase 2b ambulatory decline phase patients, involving a total of 291 patients, demonstrated a statistically significant benefit in favor of Translarna in the primary endpoint of 21 meters (p=0.015) and in key secondary endpoints. The Phase 2b ambulatory decline phase patients includes the patients from our randomized, double-blind, placebo controlled, Phase 2b clinical trial in patients with nmDMD who would have met the enrollment criteria of ACT DMD.</w:t>
      </w:r>
    </w:p>
    <w:p>
      <w:pPr>
        <w:spacing w:after="0" w:line="18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continue to believe that the results of ACT DMD and the totality of clinical data across our two large, randomized, placebo-controlled trials (ACT DMD and our prior Phase 2b trial, Study 007), including pre-specified analyses as well as retrospective and subgroup analyses that we have performed, provide strong support for concluding that Translarna is active and showed clinically meaningful benefits over placebo in these trials. However, we did not achieve the primary efficacy endpoint in either trial with the pre specified level of statistical significance and, as noted above, on February 22, 2016, we received a Refuse to File letter from the FDA regarding our NDA for Translarna for the treatment of nmDMD. There is also substantial risk that the EMA and regulators in other territories may not agree with our interpretation of the results of ACT DMD and the totality of clinical data from our trials. For further discussion of ACT DMD, see "Item 1. Business—Completed clinical trials of Translarna in nonsense mutation Duchenne muscular dystrophy." See "Item 1A. Risk Factors—Risks Related to the Development and Commercialization of our Product and our Product Candidates" for further detail regarding how ACT DMD results could impact our ability to commercialize Translarna.</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During the fourth quarter of 2015, we announced that enrollment was completed for our global, confirmatory Phase 3 clinical trial of Translarna for the treatment of cystic fibrosis caused by nonsense mutations, or nmCF. We refer to this trial as ACT CF. We anticipate top line data from ACT CF will be available in early 2017. During the third quarter of 2015, we submitted a variation to our marketing authorization of Translarna in the EEA, described above, to request approval of Translarna for the treatment of nmCF. We are responding to a request for supplementary information from the CHMP and expect a recommendation from the CHMP with respect to our variation submission in mid-2016. Our variation submission is primarily based upon the safety and efficacy results of our randomized, double-blind, placebo controlled, Phase 3 clinical trial evaluating the long-term safety and efficacy of Translarna in patients with nmCF completed in 2011, which we refer to as our prior Phase 3 trial. We believe that the collective data from our prior Phase 3 trial, including retrospective and subgroup analyses that we have performed, provide strong support for concluding that Translarna was active and showed clinically meaningful improvements over placebo, however, the primary efficacy endpoint in the ITT population did not achieve statistical significance. Approval of the marketing authorization variation will depend on the EMA's assessment of the relative benefits and risks of approval. We may not be able to demonstrate the required relative risk-benefit profile and there is substantial risk that the EMA will not grant us a variation approving Translarna for the treatment of nmCF. If approved, we expect that the EMA will require us, as a post-approval measure, to provide comprehensive clinical data from ACT CF to the EMA. In addition, such authorization, if granted, will continue to be subject to annual review and renewal by the European Commission following reassessment by the EMA of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risk benefit balance of the authorization, unless and until we are granted full marketing authorization for our primary marketing authorization in the EEA for Translarna. See "Business—Regulation in the European Union" for further detail regarding the variation process and "Risk Factors—Risks Related to Regulatory Approval of our Product and Product Candidates" for further detail regarding the annual EMA reassessment, including a description of the risk benefit balance.</w:t>
      </w:r>
    </w:p>
    <w:p>
      <w:pPr>
        <w:spacing w:after="0" w:line="16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Based on its understood mechanism of action, we believe Translarna may have benefit in the treatment of patients with any genetic disorder that arises as a result of a nonsense mutation. We are pursuing proof-of-concept studies for Translarna in additional indications: mucopolysaccharidosis type I caused by nonsense mutation, or nmMPS I, nonsense mutation aniridia, and nonsense mutation Dravet syndrome/CDKL5.</w:t>
      </w:r>
    </w:p>
    <w:p>
      <w:pPr>
        <w:spacing w:after="0" w:line="16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also continue to advance the development of our spinal muscular atrophy, or SMA, collaboration with F. Hoffman-La Roche Ltd and Hoffman-La Roche Inc., which we refer to collectively as Roche, and the Spinal Muscular Atrophy Foundation, or SMA Foundation. Two compounds are currently in clinical development within the SMA program, RG7800 and RG7916. The most advanced compound, RG7800, is the subject of a Phase 2 randomized, double-blind, placebo-controlled trial called Moonfish in adult and pediatric patients with SMA. Dosing in the Moonfish trial was suspended in April 2015 and the trial was placed on clinical hold to investigate a non-clinical safety finding observed in a longer-term animal study. The initiation of a Phase 1 study for RG7916 in healthy volunteers to investigate the safety, tolerability, pharmacokinetics and pharmacodynamics was announced in January 2016. Upon completion of this study, we and our collaboration partners expect to utilize data from this Phase 1 study to compare the profiles of the RG7800 and RG7916 compounds to determine the best path forward for our SMA program.</w:t>
      </w:r>
    </w:p>
    <w:p>
      <w:pPr>
        <w:spacing w:after="0" w:line="172"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Our cancer stem cell program targeting chemotherapy resistant cancers began a Phase 1 clinical study in the first half of 2015. In addition, we have a pipeline of product candidates that are in early clinical and preclinical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Overview—Funding</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success of Translarna, and any other product candidates we may develop, depends largely on obtaining and maintaining reimbursement from governments and third-party insurers. During 2015, our revenues were primarily generated from sales of Translarna for the treatment of nmDMD in territories where we are permitted to distribute Translarna under our early access programs, or EAPs, and in counties in the EEA where we were able to obtain acceptable pricing and reimbursement terms.</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country in the EEA has its own pricing and reimbursement regulations and many countries in the EEA have other regulations related to the marketing and sale of pharmaceutical products in the applicable country. The pricing and reimbursement process varies from country to country and can take over 18 months from initiation to complete. As a result, our commercial launch in the EEA has been, and will continue to be, on a country-by-country basis and we generally will not be able to commence commercial sales of Translarna for the treatment of nmDMD pursuant to our marketing authorization in the EEA in any particular member state of the EEA until we conclude the applicable pricing and reimbursement negotiations and comply with any licensing, employment or related regulatory requirements in that country. In some countries, such as France and Germany, EAP and commercial sales of a product can begin while pricing and reimbursement rates are under discussion with the applicable government health programs. In the event that the negotiated price of the product is lower than the amount reimbursed for sales made prior to the conclusion of price negotiations, we may become obligated to repay such excess amount to the applicable government health program. For example, an arbitration process in German regarding pricing and reimbursement of Translarna for the treatment of nmDMD recently concluded. An acceptable agreement for us was not reached. As a result, we expect to delist Translarna from the German pharmacy ordering system. We are required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reimburse payors in Germany the difference between the commercial price of Translarna in Germany and the price recently established by the German arbitration board for sales made in Germany during the period of December 2015 through such time as we delist Translarna from the German pharmacy ordering system.</w:t>
      </w:r>
    </w:p>
    <w:p>
      <w:pPr>
        <w:spacing w:after="0" w:line="11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addition, the price that is approved by local governmental authorities pursuant to commercial pricing and reimbursement processes may be significantly lower than the price that can be charged for purchases of product in that country pursuant to a reimbursed early access program. See "Item 1. Business— Commercial Matters—Market Access Considerations" for additional information and "Item 1A. Risk Factors—Our initial commercial launch of Translarna has begun in, and is expected to continue to take place in, countries that tend to impose strict price controls, which may adversely affect our revenues, if any. Failure to obtain and maintain acceptable pricing and reimbursement terms for Translarna in the European Economic Area and other jurisdictions would prevent us from marketing our products in such regions."</w:t>
      </w:r>
    </w:p>
    <w:p>
      <w:pPr>
        <w:spacing w:after="0" w:line="198"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To date, we have financed our operations primarily through our offering of 3.00% convertible senior notes due August 15, 2022, or the Convertible Notes offering, our public offerings of common stock in February 2014 and in October 2014, our initial public offering of common stock in June 2013, private placements of our preferred stock, collaborations, bank debt and convertible debt financings and grants and clinical trial support from governmental and philanthropic organizations and patient advocacy groups in the disease areas addressed by our product candidates.</w:t>
      </w:r>
    </w:p>
    <w:p>
      <w:pPr>
        <w:spacing w:after="0" w:line="167"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of December 31, 2015, we had an accumulated deficit of $593.0 million. We had a net loss of $170.4 million and $93.8 million for the fiscal years ended December 31, 2015 and 2014, respectively.</w:t>
      </w:r>
    </w:p>
    <w:p>
      <w:pPr>
        <w:spacing w:after="0" w:line="186"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We anticipate that our expenses will increase in connection with the expansion of our commercial infrastructure as we continue to establish an international presence and commercialize Translarna for the treatment of nmDMD, including sales and marketing, legal and regulatory, distribution and manufacturing and administrative and employee-based expenses. In addition, we expect to continue to incur significant costs in connection with our ongoing confirmatory Phase 3 ACT CF clinical trial of Translarna as well as our Phase 2 proof-of-concept studies for nmMPS I, nonsense mutation aniridia and nonsense mutation Dravet syndrome/CDKL5. We also expect to incur ongoing research and development expenses for our other product candidates, including our ongoing Phase 1 clinical study under our cancer stem cell program. In addition, we may incur substantial costs in connection with our efforts to resolve the issues raised by the FDA in its Refuse to File letter regarding our NDA for Translarna for the treatment of nmDMD and our efforts to advance our regulatory submissions, including our recent submissions with the EMA related to our marketing authorization for Translarna for the treatment of nmDMD and our marketing authorization variation submission with the EMA, which seeks to include Translarna for the treatment of nmCF. We have begun seeking and intend to continue to seek marketing approval for Translarna for the treatment of nmDMD in territories outside of the EEA and we may also seek marketing approval for Translarna for other indications, and these efforts may significantly impact the timing and extent of our commercialization expenses.</w:t>
      </w:r>
    </w:p>
    <w:p>
      <w:pPr>
        <w:spacing w:after="0" w:line="18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Furthermore, as a result of our initial public offering in June 2013, we have incurred and expect to continue to incur additional costs associated with operating as a public company. These costs include significant legal, accounting, investor relations and other expenses that we did not incur as a private company.</w:t>
      </w:r>
    </w:p>
    <w:p>
      <w:pPr>
        <w:spacing w:after="0" w:line="11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will need to generate significant revenues to achieve and sustain profitability, and we may never do so. Accordingly, we may need to obtain substantial additional funding in connection with our continuing operations. Adequate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31"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To date, our net product sales have consisted solely of sales of Translarna for the treatment of nmDMD in territories outside of the U.S. Our process for recognizing revenue is described below under "Critical accounting policies and significant judgments and estimates—Revenue recognition".</w:t>
      </w:r>
    </w:p>
    <w:p>
      <w:pPr>
        <w:spacing w:after="0" w:line="139"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Roche and the SMA Foundation Collaboration. </w:t>
      </w:r>
      <w:r>
        <w:rPr>
          <w:rFonts w:ascii="Arial" w:cs="Arial" w:eastAsia="Arial" w:hAnsi="Arial"/>
          <w:sz w:val="16"/>
          <w:szCs w:val="16"/>
          <w:color w:val="auto"/>
        </w:rPr>
        <w:t>In November 2011, we entered into a license and collaboration agreement, or licensing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Roche and the SMA Foundation pursuant to which we are collaborating with Roche and the SMA Foundation to further develop and commercialize compounds identified under our spinal muscular atrophy program with the SMA Foundation. The research component of this agreement terminated effective December 31, 2014. The licensing agreement included a $30 million upfront payment made in 2011 which was recognized on a deferred basis over the research team, and the potential for up to $460 million in milestone payments and royalties on net sales.</w:t>
      </w:r>
    </w:p>
    <w:p>
      <w:pPr>
        <w:spacing w:after="0" w:line="17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August 2013, we announced the selection of a development candidate, RG7800. The achievement of this milestone triggered a $10.0 million payment to us from Roche, which we recorded as collaboration revenue for the year ended December 31, 2013.</w:t>
      </w:r>
    </w:p>
    <w:p>
      <w:pPr>
        <w:spacing w:after="0" w:line="186"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In January 2014, we initiated a Phase 1 clinical program for RG7800, which triggered a $7.5 million milestone payment to us from Roche which we recorded as collaboration revenue for the year ended December 31, 2014.</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November 2014, we announced that our joint development program in Spinal Muscular Atrophy (SMA) with Roche and the SMA Foundation (SMAF) has started a Phase 2 study for RG7800 in adult and pediatric patients. The achievement of this milestone triggered a $10 million payment to us from Roche which we recorded as collaboration revenue for the year ended December 31, 2014.</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Grant revenue. </w:t>
      </w:r>
      <w:r>
        <w:rPr>
          <w:rFonts w:ascii="Arial" w:cs="Arial" w:eastAsia="Arial" w:hAnsi="Arial"/>
          <w:sz w:val="18"/>
          <w:szCs w:val="18"/>
          <w:color w:val="auto"/>
        </w:rPr>
        <w:t>From time to time, we receive grant funding from various institutions and governmental bodies. The grants are typically for early discovery</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generally such grant programs last from two to five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Research and development expenses consist of the costs associated with our research activities, as well as the costs associated with our drug discovery efforts, conducting preclinical studies and clinical trials, manufacturing development efforts and activities related to regulatory filings. Our research and development expenses consist of:</w:t>
      </w:r>
    </w:p>
    <w:p>
      <w:pPr>
        <w:spacing w:after="0" w:line="208" w:lineRule="exact"/>
        <w:rPr>
          <w:sz w:val="20"/>
          <w:szCs w:val="20"/>
          <w:color w:val="auto"/>
        </w:rPr>
      </w:pPr>
    </w:p>
    <w:p>
      <w:pPr>
        <w:ind w:left="1080" w:right="2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third-party contract research organizations and investigative sites, third-party manufacturing organizations and consultants;</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employee-related expenses, which include salaries and benefits, including share-based compensation, for the personnel involved in our drug discovery and development activities; and</w:t>
      </w:r>
    </w:p>
    <w:p>
      <w:pPr>
        <w:spacing w:after="0" w:line="199"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and other supplies.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use our employee and infrastructure resources across multiple research projects, including our drug development programs. We track expenses related to our clinical programs and certain preclinical programs on a per project basis.</w:t>
      </w:r>
    </w:p>
    <w:p>
      <w:pPr>
        <w:spacing w:after="0" w:line="186" w:lineRule="exact"/>
        <w:rPr>
          <w:sz w:val="20"/>
          <w:szCs w:val="20"/>
          <w:color w:val="auto"/>
        </w:rPr>
      </w:pPr>
    </w:p>
    <w:p>
      <w:pPr>
        <w:ind w:right="540" w:firstLine="348"/>
        <w:spacing w:after="0" w:line="370" w:lineRule="auto"/>
        <w:rPr>
          <w:sz w:val="20"/>
          <w:szCs w:val="20"/>
          <w:color w:val="auto"/>
        </w:rPr>
      </w:pPr>
      <w:r>
        <w:rPr>
          <w:rFonts w:ascii="Arial" w:cs="Arial" w:eastAsia="Arial" w:hAnsi="Arial"/>
          <w:sz w:val="15"/>
          <w:szCs w:val="15"/>
          <w:color w:val="auto"/>
        </w:rPr>
        <w:t>We expect our research and development expenses to increase in connection with our ongoing activities, particularly as we continue our confirmatory Phase 3 ACT CF clinical trial of Translarna, our Phase 2 proof-of-concept studies of Translarna in nmMPS I, nonsense mutation aniridia, and nonsense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mutation Dravet syndrome/CDKL5 and our Phase 1 clinical study under our cancer stem cell program. The timing and amount of these expenses will depend upon the outcome of our ongoing clinical trials and the costs associated with our planned clinical trials. The timing and amount of these expenses will also depend on the costs associated with potential future clinical trials of our product candidates and the related expansion of our research and development organization, regulatory requirements, advancement of our preclinical programs and product candidate manufacturing costs.</w:t>
      </w:r>
    </w:p>
    <w:p>
      <w:pPr>
        <w:spacing w:after="0" w:line="167"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following table provides research and development expense for our most advanced principal product development programs, for the years ended December 31, 2015, 2014, and 2013.</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Translarna (nmDMD, nmCF and nmMPS I)</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56,707</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28,921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Antibacterial</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7,512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5,996</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Cancer stem cell</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Next generation nonsense readthrough</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6,506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3,325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preclinical</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13,847</w:t>
            </w: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121,816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79,838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54,875</w:t>
            </w:r>
          </w:p>
        </w:tc>
        <w:tc>
          <w:tcPr>
            <w:tcW w:w="16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successful development of our product and product candidates is highly uncertain. This is due to the numerous risks and uncertainties associated with developing drugs, including the uncertainty of:</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rate of progress and expense of our clinical trials and other research and development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benefits of our products and product candidate over other therapies;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that we are developing or may develop in the future, including our ability to negotiate pricing and reimbursement terms acceptable to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and timing of regulatory approvals;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patent claims and other intellectual property rights.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 change in the outcome of any of these variables with respect to the development of Translarna or any other product candidate could mean a significant change in the costs and timing associated with the development of that product candidate. For example, if the EMA or FDA or other regulatory authority were to require us to conduct clinical trials beyond those which we currently anticipate will be required for the completion of clinical development of Translarna or any other product candidate or if we experience significant delays in enrollment in any of our clinical trials, we could be required to expend significant additional financial resources and time on the completion of clinical development.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Selling, general and administrative expenses consist primarily of salaries and other related costs for personnel, including share-based compensation expenses, in our executive, legal, business development, finance, accounting, information technology and human resource functions. Other selling, general and administrative expenses include facility-related costs not otherwise included in research and development expense; advertising and promotional expenses; costs associated with industry and trade shows; and professional fees for legal services, including patent-related expenses, accounting services, miscellaneous selling costs and finishing costs incurred to direct product to commercial use.</w:t>
      </w:r>
    </w:p>
    <w:p>
      <w:pPr>
        <w:spacing w:after="0" w:line="170"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expect that selling, general and administrative expenses will increase in future periods as a result of our continued efforts to establish an expanded international presence in Europe and other territories and our continued efforts to commercialize Translarna for the treatment of nmDMD, including increased payroll, expanded infrastructure, commercial operations, increased consulting, legal, accounting and investor relations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(expense) income, net consists of interest income earned on investments and interest expense from the Convertible Notes outstanding.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1"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financial statements, which we have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recognize revenue when amounts are realized or realizable and earned. Revenue is considered realizable and earned when the following criteria are met:</w:t>
      </w:r>
    </w:p>
    <w:p>
      <w:pPr>
        <w:spacing w:after="0" w:line="50"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persuasive evidence of an arrangement exists; (2) delivery has occurred or services have been rendered; (3) the price is fixed or determinable;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collection of the amounts due are reasonably assured.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To date, our net product sales have consisted solely of sales of Translarna for the treatment of nmDMD in territories outside of the U.S. We began recognizing revenue for payments received under the reimbursed EAPs for Translarna in nmDMD patients in select countries in the third quarter of 2014. We have now established a pattern of collectability and, since January 2015, we recognize revenue from product sales when there is persuasive evidence that an arrangement exists, title to product and associated risk of loss has passed to the customer, the price is fixed or determinable, collectability is reasonably assured and we have no further performance obligations in accordance with Financial Accounting Standards Board ("FASB") Accounting Standards Codification ("ASC") Subtopic 605-15, Revenue Recognition—Products.</w:t>
      </w:r>
    </w:p>
    <w:p>
      <w:pPr>
        <w:spacing w:after="0" w:line="19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have recorded revenue on sales where Translarna is available either on a commercial basis or through a reimbursed EAP program. Orders for Translarna are generally received from hospital and retail pharmacies and, in some cases, one of our third-party partner distributors. Our third-party distributors act as intermediaries between us and end users and do not typically stock significant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quantities of Translarna. The ultimate payor for Translarna is typically a government authority or institution or a third-party health insurer. Prior to January 1, 2015, we generally recognized revenue for these reimbursed EAP programs once the product was shipped on behalf of the government authority or institution on a cash basis if all other revenue recognition criteria had been met. Beginning in the first quarter of 2015, we are recognizing revenue for Translarna as product is shipped, as we have established a pattern of collectability.</w:t>
      </w:r>
    </w:p>
    <w:p>
      <w:pPr>
        <w:spacing w:after="0" w:line="19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record revenue net of estimated third party discounts and rebates. Allowances are recorded as a reduction of revenue at the time revenues from product sales are recognized. Allowances for government and other third-party rebates and discounts are established or estimated at the time of delivery. These allowances are adjusted to reflect known changes in factors and may impact such allowances in the quarter those changes are known.</w:t>
      </w:r>
    </w:p>
    <w:p>
      <w:pPr>
        <w:spacing w:after="0" w:line="16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expect that net product sales will fluctuate quarter-over-quarter. In some countries, including Brazil, orders for named patient sales are for multiple months of therapy which can lead to an unevenness in orders. In addition, net product sales may fluctuate quarter-over-quarter as a result of government actions, economic pressures and political unrest. Net product sales may be significantly impacted by multiple factors, including, among other things, decisions by regulatory authorities, in particular the FDA and the EMA with respect to our submissions for Translarna for the treatment of nmDMD and our ability to successfully negotiate favorable pricing and reimbursement processes on a timely basis in the countries in which we have or may obtain regulatory approval, including the United States, EEA and other territories.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Collaboration and Grant Revenue</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terms of collaboration agreements typically include payments of one or more of the following: nonrefundable, upfront license fees; milestone payments; research funding; and royalties on future product sales. If applicable, we generate service revenue through collaboration and grant agreements that provide for fees for research and development services or additional payments upon achievement of specified events.</w:t>
      </w:r>
    </w:p>
    <w:p>
      <w:pPr>
        <w:spacing w:after="0" w:line="16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evaluate all contingent consideration earned, such as a milestone payment, using the criteria as provided by the Financial Accounting Standards Board, or FASB, guidance on the milestone method of revenue recognition. At the inception of a collaboration arrangement, we evaluate if milestone payments are substantive. The criteria requires that (1) we determine if the milestone is commensurate with either its performance to achieve the milestone or the enhancement of value resulting from our activities to achieve the milestone; (2) the milestone be related to past performance; and (3) the milestone be reasonable relative to all deliverable and payment terms of the collaboration arrangement. If these criteria are met then the contingent milestones can be considered as substantive milestones and will be recognized as revenue in the period that the milestone is achieved. We recognize royalties as earned in accordance with the terms of various research and collaboration agreements. If not substantive, the contingent consideration is allocated to the existing units of accounting based on relative selling price and recognized following the same basis previously established for the associated unit of accounting.</w:t>
      </w:r>
    </w:p>
    <w:p>
      <w:pPr>
        <w:spacing w:after="0" w:line="172"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recognize reimbursements for research and development costs under collaboration agreements as revenue as the services are performed. We record these reimbursements as revenue and not as a reduction of research and development expenses as we have the risks and rewards as the principal in the research and development activities.</w:t>
      </w:r>
    </w:p>
    <w:p>
      <w:pPr>
        <w:spacing w:after="0" w:line="19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principal obligation under our grant agreements is to conduct the internal or external research in the specific field funded by the grant. We determine, through the grant's normal research process, which research and development projects to pursue. We recognize grant revenues as the research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activities are performed. If the grant includes an upfront payment, we defer the amount and recognize it as revenue as the expenditures are incurred.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and Cost of Product Revenues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2014, we were notified that the European Commission, or EC, granted marketing authorization for Translarna for the treatment of nmDMD in ambulatory patients aged five years and older. The conditional marketing authorization allows us to market Translarna for the treatment of nmDMD in the 31 member states of European Economic Area. Our launch in these countries is on a country by country basis. This marketing authorization is subject to annual review and renewal by the European Commission following reassessment by the European Medicines Agency, or EMA, of the risk benefit balance of the authorization, which we refer to as the annual EMA reassessment. The authorization was further conditioned on our submission of the final report, including additional efficacy and safety data, from ACT DMD and our ability to implement measures, including pharmacovigilance plans that are detailed in the risk management plan for Translarna that was submitted to EMA. In January 2016, we submitted the final ACT DMD report to the EMA. In the third quarter of 2015, the EMA approved the annual renewal of the marketing authorization for Translarna for the treatment of nmDMD. We plan to seek to renew the marketing authorization on an annual basis until our obligations have been fulfilled and the approval is converted from a conditional approval into a full approval. If we fail to satisfy such requirements, or if it is determined that the balance of risks and benefits of using Translarna changes materially, the European Commission could, at the EMA's recommendation, vary, suspend, withdraw or refuse to renew the marketing authorization for Translarna or require additional clinical trials.</w:t>
      </w:r>
    </w:p>
    <w:p>
      <w:pPr>
        <w:spacing w:after="0" w:line="18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do not have sufficient history or experience from which to accurately forecast product sales or demand generation, and there continues to be substantial risk that regulators could suspend or not renew our marketing authorization in the future. As such, as of the date of this filing, we have not capitalized inventory. Had we capitalized all of our Translarna product that is available for commercial sale on hand as of December 31, 2015, the value would have been approximately $2.0 million. In addition, had we expensed the cost of Translarna as a cost of sales when sold, our gross profit margin would have been greater than 90%, which we believe is consistent with the cost of producing small molecule therapeutics for orphan drug diseases in the pharmaceutical industry. We will continue to assess the appropriateness of inventory capitalization based on the outcome of applicable regulatory approvals.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part of the process of preparing our financial statements, we are required to estimate accrued expenses. This process involves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Examples of estimated accrued expenses include:</w:t>
      </w:r>
    </w:p>
    <w:p>
      <w:pPr>
        <w:spacing w:after="0" w:line="183"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fees paid to contract research organizations in connection with preclinical and toxicology studies and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fees paid to contract manufacturers in connection with the production of clinical trial materials;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professional service fees.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right="420" w:firstLine="348"/>
        <w:spacing w:after="0" w:line="318" w:lineRule="auto"/>
        <w:rPr>
          <w:sz w:val="20"/>
          <w:szCs w:val="20"/>
          <w:color w:val="auto"/>
        </w:rPr>
      </w:pPr>
      <w:r>
        <w:rPr>
          <w:rFonts w:ascii="Arial" w:cs="Arial" w:eastAsia="Arial" w:hAnsi="Arial"/>
          <w:sz w:val="15"/>
          <w:szCs w:val="15"/>
          <w:color w:val="auto"/>
        </w:rPr>
        <w:t>We expect to grant additional stock options that will result in additional share-based compensation expense. We measure the cost of employee services received in exchange for an award of equity instruments based on the grant date fair value of the award. For service type awards, share-based compensation expense is recognized on a straight-line basis over the period during which the employee is required to provide service in exchange for the entire award. For awards that vest or begin vesting upon achievement of a performance condition, we estimate the likelihood of satisfaction of the performance condition and recognize compensation expense when achievement of the performance condition is deemed probable using an accelerated attribution model.</w:t>
      </w:r>
    </w:p>
    <w:p>
      <w:pPr>
        <w:spacing w:after="0" w:line="15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2015, we issued a total of 2,201,800 stock options to various employees. Of those, 806,600 were non-statutory stock option inducement grants made pursuant to the NASDAQ inducement grant exception as a material component of our new hires' employment compensation. All other stock option grants were made under our 2013 Long Term Incentive Plan.</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fair value of options is calculated using the Black-Scholes option pricing model to determine the fair value of stock options on the date of grant based on key assumptions, such as expected volatility and expected term. As a new public company, we do not have sufficient history to estimate the volatility of our common stock price or the expected life of the options. We calculate expected volatility based on reported data for similar publicly traded companies for which historical information is available and will continue to do so until the historical volatility of our common stock is sufficient to measure expected volatility for future option grants.</w:t>
      </w:r>
    </w:p>
    <w:p>
      <w:pPr>
        <w:spacing w:after="0" w:line="197" w:lineRule="exact"/>
        <w:rPr>
          <w:sz w:val="20"/>
          <w:szCs w:val="20"/>
          <w:color w:val="auto"/>
        </w:rPr>
      </w:pPr>
    </w:p>
    <w:p>
      <w:pPr>
        <w:ind w:right="900" w:firstLine="348"/>
        <w:spacing w:after="0" w:line="268" w:lineRule="auto"/>
        <w:rPr>
          <w:sz w:val="20"/>
          <w:szCs w:val="20"/>
          <w:color w:val="auto"/>
        </w:rPr>
      </w:pPr>
      <w:r>
        <w:rPr>
          <w:rFonts w:ascii="Arial" w:cs="Arial" w:eastAsia="Arial" w:hAnsi="Arial"/>
          <w:sz w:val="18"/>
          <w:szCs w:val="18"/>
          <w:color w:val="auto"/>
        </w:rPr>
        <w:t>The fair values of grants made in the year ended December 31, 2015 were contemporaneously estimated on the date of grant using the following assumptions: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83"/>
              </w:rPr>
              <w:t>2015</w:t>
            </w: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83"/>
              </w:rPr>
              <w:t>2013</w:t>
            </w: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- 2.18%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- 1.90%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volatility</w:t>
            </w: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760" w:type="dxa"/>
            <w:vAlign w:val="bottom"/>
          </w:tcPr>
          <w:p>
            <w:pPr>
              <w:ind w:left="40"/>
              <w:spacing w:after="0"/>
              <w:rPr>
                <w:sz w:val="20"/>
                <w:szCs w:val="20"/>
                <w:color w:val="auto"/>
              </w:rPr>
            </w:pPr>
            <w:r>
              <w:rPr>
                <w:rFonts w:ascii="Arial" w:cs="Arial" w:eastAsia="Arial" w:hAnsi="Arial"/>
                <w:sz w:val="18"/>
                <w:szCs w:val="18"/>
                <w:color w:val="auto"/>
              </w:rPr>
              <w:t>- 69%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760" w:type="dxa"/>
            <w:vAlign w:val="bottom"/>
          </w:tcPr>
          <w:p>
            <w:pPr>
              <w:ind w:left="40"/>
              <w:spacing w:after="0"/>
              <w:rPr>
                <w:sz w:val="20"/>
                <w:szCs w:val="20"/>
                <w:color w:val="auto"/>
              </w:rPr>
            </w:pPr>
            <w:r>
              <w:rPr>
                <w:rFonts w:ascii="Arial" w:cs="Arial" w:eastAsia="Arial" w:hAnsi="Arial"/>
                <w:sz w:val="18"/>
                <w:szCs w:val="18"/>
                <w:color w:val="auto"/>
              </w:rPr>
              <w:t>- 91%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760" w:type="dxa"/>
            <w:vAlign w:val="bottom"/>
          </w:tcPr>
          <w:p>
            <w:pPr>
              <w:ind w:left="40"/>
              <w:spacing w:after="0"/>
              <w:rPr>
                <w:sz w:val="20"/>
                <w:szCs w:val="20"/>
                <w:color w:val="auto"/>
              </w:rPr>
            </w:pPr>
            <w:r>
              <w:rPr>
                <w:rFonts w:ascii="Arial" w:cs="Arial" w:eastAsia="Arial" w:hAnsi="Arial"/>
                <w:sz w:val="18"/>
                <w:szCs w:val="18"/>
                <w:color w:val="auto"/>
              </w:rPr>
              <w:t>- 89%</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5.50 - 9.12 years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5.50 - 6.25 years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6.00 - 6.25 years</w:t>
            </w:r>
          </w:p>
        </w:tc>
      </w:tr>
    </w:tbl>
    <w:p>
      <w:pPr>
        <w:spacing w:after="0" w:line="20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assumed no expected dividends for all grants. The weighted average grant date fair value of options granted during the years ended December 31, 2015, 2014 and 2013 was $50.81, $22.39, and $8.23 per share, respectively.</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use the "simplified method" to determine the expected term of options. Under this method, the expected term represents the average of the vesting period and the contractual term. The expected volatility of share options was estimated based on a historical volatility analysis of peers that were similar to us with respect to industry, stage of life cycle, size, and financial leverage. The risk-free rate of the option is based on U.S. Government Securities Treasury Constant Maturities yields at the date of grant for a term similar to the expected term of the option.</w:t>
      </w:r>
    </w:p>
    <w:p>
      <w:pPr>
        <w:spacing w:after="0" w:line="197" w:lineRule="exact"/>
        <w:rPr>
          <w:sz w:val="20"/>
          <w:szCs w:val="20"/>
          <w:color w:val="auto"/>
        </w:rPr>
      </w:pPr>
    </w:p>
    <w:p>
      <w:pPr>
        <w:ind w:right="360" w:firstLine="351"/>
        <w:spacing w:after="0" w:line="370" w:lineRule="auto"/>
        <w:rPr>
          <w:sz w:val="20"/>
          <w:szCs w:val="20"/>
          <w:color w:val="auto"/>
        </w:rPr>
      </w:pPr>
      <w:r>
        <w:rPr>
          <w:rFonts w:ascii="Arial" w:cs="Arial" w:eastAsia="Arial" w:hAnsi="Arial"/>
          <w:sz w:val="15"/>
          <w:szCs w:val="15"/>
          <w:i w:val="1"/>
          <w:iCs w:val="1"/>
          <w:color w:val="auto"/>
        </w:rPr>
        <w:t>Restricted Stock Awards</w:t>
      </w:r>
      <w:r>
        <w:rPr>
          <w:rFonts w:ascii="Arial" w:cs="Arial" w:eastAsia="Arial" w:hAnsi="Arial"/>
          <w:sz w:val="15"/>
          <w:szCs w:val="15"/>
          <w:color w:val="auto"/>
        </w:rPr>
        <w:t>—Restricted stock awards are granted subject to certain restrictions, including service conditions. The grant-date fair value of</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stock awards, which has been determined based upon the market value of our common stock on the grant date, is expensed over the vesting period.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on our restricted stock:</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0"/>
              </w:rPr>
              <w:t>Restricted Stock</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
              <w:spacing w:after="0"/>
              <w:rPr>
                <w:sz w:val="20"/>
                <w:szCs w:val="20"/>
                <w:color w:val="auto"/>
              </w:rPr>
            </w:pPr>
            <w:r>
              <w:rPr>
                <w:rFonts w:ascii="Arial" w:cs="Arial" w:eastAsia="Arial" w:hAnsi="Arial"/>
                <w:sz w:val="18"/>
                <w:szCs w:val="18"/>
                <w:color w:val="auto"/>
              </w:rPr>
              <w:t>718,400</w:t>
            </w:r>
          </w:p>
        </w:tc>
        <w:tc>
          <w:tcPr>
            <w:tcW w:w="4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(361,919)</w:t>
            </w:r>
          </w:p>
        </w:tc>
        <w:tc>
          <w:tcPr>
            <w:tcW w:w="4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Forfeited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(12,146)</w:t>
            </w:r>
          </w:p>
        </w:tc>
        <w:tc>
          <w:tcPr>
            <w:tcW w:w="4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
              <w:spacing w:after="0"/>
              <w:rPr>
                <w:sz w:val="20"/>
                <w:szCs w:val="20"/>
                <w:color w:val="auto"/>
              </w:rPr>
            </w:pPr>
            <w:r>
              <w:rPr>
                <w:rFonts w:ascii="Arial" w:cs="Arial" w:eastAsia="Arial" w:hAnsi="Arial"/>
                <w:sz w:val="18"/>
                <w:szCs w:val="18"/>
                <w:color w:val="auto"/>
              </w:rPr>
              <w:t>344,335</w:t>
            </w:r>
          </w:p>
        </w:tc>
        <w:tc>
          <w:tcPr>
            <w:tcW w:w="4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w w:val="89"/>
              </w:rPr>
              <w:t>We recorded share-based compensation expense in the statement of operations as follows:</w:t>
            </w: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580" w:type="dxa"/>
            <w:vAlign w:val="bottom"/>
            <w:gridSpan w:val="2"/>
          </w:tcPr>
          <w:p>
            <w:pPr>
              <w:ind w:left="13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w w:val="76"/>
              </w:rPr>
              <w:t>2014</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3"/>
              </w:rPr>
              <w:t>16,138</w:t>
            </w:r>
          </w:p>
        </w:tc>
        <w:tc>
          <w:tcPr>
            <w:tcW w:w="3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9,739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w w:val="83"/>
              </w:rPr>
              <w:t>17,841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9,571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3"/>
              </w:rPr>
              <w:t>33,979</w:t>
            </w:r>
          </w:p>
        </w:tc>
        <w:tc>
          <w:tcPr>
            <w:tcW w:w="3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19,310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1"/>
        <w:spacing w:after="0" w:line="298" w:lineRule="auto"/>
        <w:rPr>
          <w:sz w:val="20"/>
          <w:szCs w:val="20"/>
          <w:color w:val="auto"/>
        </w:rPr>
      </w:pPr>
      <w:r>
        <w:rPr>
          <w:rFonts w:ascii="Arial" w:cs="Arial" w:eastAsia="Arial" w:hAnsi="Arial"/>
          <w:sz w:val="16"/>
          <w:szCs w:val="16"/>
          <w:color w:val="auto"/>
        </w:rPr>
        <w:t>As of December 31, 2015, 2014 and 2013 there was approximately $73.8 million, $38.4 million and $21.6 million, respectively, of total unrecognized compensation cost related to unvested share-based compensation arrangements granted under the Company's 2013 Long Term Incentive Plan and prior equity awards plans or made pursuant to the NASDAQ inducement grant exception for new hires. This cost is expected to be recognized as share-based compensation expense over the weighted average remaining service period of approximately 2.74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Warrants to purchase our common stock with nonstandard antidilution provisions, regardless of the probability or likelihood that may conditionally obligate the issuer to ultimately transfer assets, are classified as liabilities and are recorded at their estimated fair value at each reporting period. Any change in fair value of these warrants is recorded as gain (loss) on warrant valuation each reporting period in Other income (expense) on our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offering</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August 2015, we issued, at par value, $150.0 million aggregate principal amount of 3.0% convertible senior notes due 2022, which we refer to as the Convertible Notes. The Convertible Notes bear cash interest at a rate of 3.0% per year, payable semi-annually on February 15 and August 15 of each year, beginning on February 15, 2016. The Convertible Notes will mature on August 15, 2022, unless earlier repurchased or converted. The net proceeds to us from the offering were $145.4 million after deducting the initial purchasers' discounts and commissions and the offering expenses payable by us.</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Convertible Notes are governed by an indenture (the Convertible Notes Indenture) with U.S Bank National Association as trustee (the Convertible Notes Trustee).</w:t>
      </w:r>
    </w:p>
    <w:p>
      <w:pPr>
        <w:spacing w:after="0" w:line="186"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Holders may convert their Convertible Notes at their option at any time prior to the close of business on the business day immediately preceding February 15, 2022 only under the following circumstances: (1) during any calendar quarter commencing on or after September 30, 2015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conversion price on each applicable trading day; (2) during the five business day period after any five consecutive trading day period (the "measurement period") in which the trading price (as defined in the Convertible Notes Indenture) per $1,000 principal amount of Convertible Notes for each trading day of the measurement period was less than 98% of the product of the last reported sale price of our common stock and the conversion rate on each such trading day;</w:t>
      </w:r>
    </w:p>
    <w:p>
      <w:pPr>
        <w:spacing w:after="0" w:line="1" w:lineRule="exact"/>
        <w:rPr>
          <w:sz w:val="20"/>
          <w:szCs w:val="20"/>
          <w:color w:val="auto"/>
        </w:rPr>
      </w:pPr>
    </w:p>
    <w:p>
      <w:pPr>
        <w:ind w:right="120" w:firstLine="8"/>
        <w:spacing w:after="0" w:line="292" w:lineRule="auto"/>
        <w:tabs>
          <w:tab w:leader="none" w:pos="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during any period after we have issued notice of redemption until the close of business on the scheduled trading day immediately preceding the relevant redemption date; or (4) upon the occurrence of specified corporate events. On or after February 15, 2022, until the close of business on the business day immediately preceding the maturity date, holders may convert their Convertible Notes at any time, regardless of the foregoing circumstances. Upon conversion, we will pay cash up to the aggregate principal amount of the Convertible Notes to be converted and deliver shares of its common stock in respect of the remainder, if any, of its conversion obligation in excess of the aggregate principal amount of Convertible Notes being converted.</w:t>
      </w:r>
    </w:p>
    <w:p>
      <w:pPr>
        <w:spacing w:after="0" w:line="171"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conversion rate for the Convertible Notes was initially, and remains, 17.7487 shares of our common stock per $1,000 principal amount of the Convertible Notes, which is equivalent to an initial conversion price of approximately $56.34 per share of our common stock.</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may not redeem the Convertible Notes prior to August 20, 2018. We may redeem for cash all or any portion of the Convertible Notes, at its option, on or after August 20, 2018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we provide notice of redemption, at a redemption price equal to 100% of the principal amount of the Convertible Notes to be redeemed, plus accrued and unpaid interest to, but excluding, the redemption date. No sinking fund is provided for the Convertible Notes, which means that we are not required to redeem or retire the Convertible Notes periodically.</w:t>
      </w:r>
    </w:p>
    <w:p>
      <w:pPr>
        <w:spacing w:after="0" w:line="17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If we undergo a "fundamental change" (as defined in the Indenture governing the Convertible Notes Indenture), subject to certain conditions, holders of the Convertible Notes may require us to repurchase for cash all or part of their Convertible Notes at a repurchase price equal to 100% of the principal amount of the Convertible Notes to be repurchased, plus accrued and unpaid interest to, but excluding, the fundamental change repurchase date.</w:t>
      </w:r>
    </w:p>
    <w:p>
      <w:pPr>
        <w:spacing w:after="0" w:line="161" w:lineRule="exact"/>
        <w:rPr>
          <w:sz w:val="20"/>
          <w:szCs w:val="20"/>
          <w:color w:val="auto"/>
        </w:rPr>
      </w:pPr>
    </w:p>
    <w:p>
      <w:pPr>
        <w:ind w:right="60" w:firstLine="348"/>
        <w:spacing w:after="0" w:line="312" w:lineRule="auto"/>
        <w:rPr>
          <w:sz w:val="20"/>
          <w:szCs w:val="20"/>
          <w:color w:val="auto"/>
        </w:rPr>
      </w:pPr>
      <w:r>
        <w:rPr>
          <w:rFonts w:ascii="Arial" w:cs="Arial" w:eastAsia="Arial" w:hAnsi="Arial"/>
          <w:sz w:val="15"/>
          <w:szCs w:val="15"/>
          <w:color w:val="auto"/>
        </w:rPr>
        <w:t>The Convertible Notes Indenture contains customary events of default with respect to the Convertible Notes, including that upon certain events of default (including our failure to make any payment of principal or interest on the Convertible Notes when due and payable) occurring and continuing, the Convertible Notes Trustee by notice to us, or the holders of at least 25% in principal amount of the outstanding Convertible Notes by notice to us and the Convertible Notes Trustee, may, and the Convertible Notes Trustee at the request of such holders (subject to the provisions of the Convertible Notes Indenture) shall, declare 100% of the principal of and accrued and unpaid interest, if any, on all the Convertible Notes to be due and payable. In case of certain events of bankruptcy, insolvency or reorganization, involving us or a significant subsidiary, 100% of the principal of and accrued and unpaid interest on the Convertible Notes will automatically become due and payable. Upon such a declaration of acceleration, such principal and accrued and unpaid interest, if any, will be due and payable immediately.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part of the process of preparing our financial statements, we are required to estimate our income taxes in each of the jurisdictions in which we operate. This process involves estimating our actual current tax expense together with assessing temporary differences resulting from differing treatments of items for tax and accounting purposes. These differences result in deferred tax assets and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liabilities. At December 31, 2015 and 2014, we recorded a full valuation allowance against our net deferred tax assets of approximately $139.6 million and</w:t>
      </w:r>
    </w:p>
    <w:p>
      <w:pPr>
        <w:spacing w:after="0" w:line="3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$123.3 million, respectively. The change in the valuation allowance during the years ended December 31, 2015 and 2014 was approximately $16.3 million and $9.2 million, respectively. A full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 As of December 31, 2015, we have approximately $270.4 million and $198.1 million of federal and state net operating loss carryforwards, respectively.</w:t>
      </w:r>
    </w:p>
    <w:p>
      <w:pPr>
        <w:spacing w:after="0" w:line="199"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As a result of realization requirements of the guidance issued by the FASB, certain deferred tax assets that arose directly from tax deductions related to equity compensation in excess of compensation recognized for financial reporting are excluded from the total deferred tax assets. As of December 31, 2015, approximately $49.2 million of the federal net operating loss carryforwards are related to the exercise of employee stock options and vesting of restricted stock, and we will record a tax benefit of approximately of $16.7 million through capital in excess of par value if such losses are realized.</w:t>
      </w:r>
    </w:p>
    <w:p>
      <w:pPr>
        <w:spacing w:after="0" w:line="167"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of December 31, 2015, credit carryforwards for federal and state purposes are approximately $11.0 million and $4.8 million, respectively. In addition the Orphan Drug Credit Carryover available as of December 31, 2015 is approximately $39.8 million. The federal net operating loss carryforwards begin to expire in 2021, while the federal credit carryforwards begin to expire in 2019. State net operating loss carryforwards begin to expire in 2030, and the state credit carryforwards begin to expire in 2016. Sections 382 and 383 of the Internal Revenue Code of 1986 subject the future utilization of net operating losses and certain other tax attributes, such as research and experimental tax credits, to an annual limitation in the event of certain ownership changes, as defined. The Company has undergone an ownership change and has determined that a "change in ownership" as defined by IRC Section 382 of the Internal Revenue Code of 1986, as amended, and the rules and regulations promulgated thereunder, did occur in June of 2013. Accordingly, about $231.5 million of the Company's NOL carryforwards are limited and the Company can only use $16.7 million for the first five years from the ownership change and $5.7 million per year going forward. Therefore, $169.2 million of the NOL's will be freed up over the next 20 years and $62.3 million are expected to expire unused which are not included in the deferred tax assets listed above. In summary, there are $270.4 million of NOLs available, out of which $169.2 million are limited by IRC Section 382. At December 31, 2015, there is $142.9 million available for immediate use and an additional $16.7 million will free up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revenues and selected expense and other income data for the year ended December 31, 2015 and 2014:</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gridSpan w:val="4"/>
          </w:tcPr>
          <w:p>
            <w:pPr>
              <w:jc w:val="center"/>
              <w:ind w:left="432"/>
              <w:spacing w:after="0"/>
              <w:rPr>
                <w:sz w:val="20"/>
                <w:szCs w:val="20"/>
                <w:color w:val="auto"/>
              </w:rPr>
            </w:pPr>
            <w:r>
              <w:rPr>
                <w:rFonts w:ascii="Arial" w:cs="Arial" w:eastAsia="Arial" w:hAnsi="Arial"/>
                <w:sz w:val="14"/>
                <w:szCs w:val="14"/>
                <w:b w:val="1"/>
                <w:bCs w:val="1"/>
                <w:color w:val="auto"/>
                <w:w w:val="87"/>
              </w:rPr>
              <w:t>Year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80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4"/>
              </w:rPr>
              <w:t>2015 vs. 2014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product revenue</w:t>
            </w: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33,696</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Collaboration and grant revenue</w:t>
            </w: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3,070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24,528</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121,816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79,838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82,080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44,820</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(2,367)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Net product revenue. </w:t>
      </w:r>
      <w:r>
        <w:rPr>
          <w:rFonts w:ascii="Arial" w:cs="Arial" w:eastAsia="Arial" w:hAnsi="Arial"/>
          <w:sz w:val="18"/>
          <w:szCs w:val="18"/>
          <w:color w:val="auto"/>
        </w:rPr>
        <w:t>Net product revenue was $33.7 million for the year ended December 31, 2015, an increase of $33.0 million, from net product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of $0.7 million for the year ended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700"/>
        <w:spacing w:after="0" w:line="335" w:lineRule="auto"/>
        <w:rPr>
          <w:sz w:val="20"/>
          <w:szCs w:val="20"/>
          <w:color w:val="auto"/>
        </w:rPr>
      </w:pPr>
      <w:r>
        <w:rPr>
          <w:rFonts w:ascii="Arial" w:cs="Arial" w:eastAsia="Arial" w:hAnsi="Arial"/>
          <w:sz w:val="15"/>
          <w:szCs w:val="15"/>
          <w:color w:val="auto"/>
        </w:rPr>
        <w:t>December 31, 2014. We have recorded revenue on sales where Translarna is available either on a commercial basis or through a reimbursed EAP. As of January 1, 2015, we have recognized revenue for Translarna as product is shipped, given we have established a pattern of collectability. We recognized $1.4 million of revenue in 2015 attributable to product sales in 2014 which were deferred in 2014 when we recognized revenue on a cash basis.</w:t>
      </w:r>
    </w:p>
    <w:p>
      <w:pPr>
        <w:spacing w:after="0" w:line="14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Collaboration and grant revenue. </w:t>
      </w:r>
      <w:r>
        <w:rPr>
          <w:rFonts w:ascii="Arial" w:cs="Arial" w:eastAsia="Arial" w:hAnsi="Arial"/>
          <w:sz w:val="18"/>
          <w:szCs w:val="18"/>
          <w:color w:val="auto"/>
        </w:rPr>
        <w:t>Collaboration and grant revenue was $3.1 million for the year ended December 31, 2015, a decrease of $21.5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87%, from collaboration and grant revenue of $24.5 million for the year ended December 31, 2014. The decrease in collaboration revenue was primarily due to milestone payments received from Roche for program achievements in the SMA program in 2014 of $17.5 million as well as lower collaboration revenue for the comparable period.</w:t>
      </w:r>
    </w:p>
    <w:p>
      <w:pPr>
        <w:spacing w:after="0" w:line="197" w:lineRule="exact"/>
        <w:rPr>
          <w:sz w:val="20"/>
          <w:szCs w:val="20"/>
          <w:color w:val="auto"/>
        </w:rPr>
      </w:pPr>
    </w:p>
    <w:p>
      <w:pPr>
        <w:ind w:left="360"/>
        <w:spacing w:after="0"/>
        <w:tabs>
          <w:tab w:leader="none" w:pos="3040" w:val="left"/>
        </w:tabs>
        <w:rPr>
          <w:sz w:val="20"/>
          <w:szCs w:val="20"/>
          <w:color w:val="auto"/>
        </w:rPr>
      </w:pPr>
      <w:r>
        <w:rPr>
          <w:rFonts w:ascii="Arial" w:cs="Arial" w:eastAsia="Arial" w:hAnsi="Arial"/>
          <w:sz w:val="18"/>
          <w:szCs w:val="18"/>
          <w:i w:val="1"/>
          <w:iCs w:val="1"/>
          <w:color w:val="auto"/>
        </w:rPr>
        <w:t>Research and development expense.</w:t>
      </w:r>
      <w:r>
        <w:rPr>
          <w:sz w:val="20"/>
          <w:szCs w:val="20"/>
          <w:color w:val="auto"/>
        </w:rPr>
        <w:tab/>
      </w:r>
      <w:r>
        <w:rPr>
          <w:rFonts w:ascii="Arial" w:cs="Arial" w:eastAsia="Arial" w:hAnsi="Arial"/>
          <w:sz w:val="15"/>
          <w:szCs w:val="15"/>
          <w:color w:val="auto"/>
        </w:rPr>
        <w:t>Research and development expense was $121.8 million for the year ended December 31, 2015, an increase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$42.0 million, or 53%, from $79.8 million for the year ended December 31, 2014. The increase resulted primarily from increased clinical trial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$12.8 million associated with our ongoing clinical trials, increased costs of $9.5 million incurred in the manufacturing of drug product, an increase in personnel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costs of $9.2 million related to increased headcount primarily due to international expansion, and an increase in non-cash,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of $6.4 million.</w:t>
      </w:r>
    </w:p>
    <w:p>
      <w:pPr>
        <w:spacing w:after="0" w:line="219"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was $82.1 million for the year ended December 31, 2015,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$37.3 million or 83% from $44.8 million for the year ended December 31, 2014. The increase resulted primarily from increased non-cash stock-based compensation expense of $8.3 million, increased personnel costs of $14.9 million related to increased headcount primarily due to international expansion, and increased costs related to our commercial launch activities and costs associated with establishing our international infrastructure.</w:t>
      </w:r>
    </w:p>
    <w:p>
      <w:pPr>
        <w:spacing w:after="0" w:line="16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Net tax benefit. </w:t>
      </w:r>
      <w:r>
        <w:rPr>
          <w:rFonts w:ascii="Arial" w:cs="Arial" w:eastAsia="Arial" w:hAnsi="Arial"/>
          <w:sz w:val="18"/>
          <w:szCs w:val="18"/>
          <w:color w:val="auto"/>
        </w:rPr>
        <w:t>Income tax expense was $0.5 million for the year ended December 31, 2015 and income tax benefit was $4.7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We incurred income tax expense related to certain foreign income taxes. We are subject to income taxes in the United States, although currently not a tax payer, and various foreign jurisdictions, and our foreign tax liabilities are largely dependent upon the distribution of pre-tax earnings among these different jurisdictions. We recognized a tax benefit of $4.9 million related to our sale of net operating losses and research and development credits in the New Jersey Technology Business Tax Certificate Transfer Program for the year ended December 31, 2014. We did not participate in this program during the year ended December 31, 2015.</w:t>
      </w:r>
    </w:p>
    <w:p>
      <w:pPr>
        <w:spacing w:after="0" w:line="198"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i w:val="1"/>
          <w:iCs w:val="1"/>
          <w:color w:val="auto"/>
        </w:rPr>
        <w:t xml:space="preserve">Interest income (expense),net. </w:t>
      </w:r>
      <w:r>
        <w:rPr>
          <w:rFonts w:ascii="Arial" w:cs="Arial" w:eastAsia="Arial" w:hAnsi="Arial"/>
          <w:sz w:val="16"/>
          <w:szCs w:val="16"/>
          <w:color w:val="auto"/>
        </w:rPr>
        <w:t>Net interest expense was $2.4 million for the year ended December 31, 2015, a decrease of $3.5 million from net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$1.2 million for the year ended December 31, 2014. The increase in interest expense was primarily due to increased interest expense accrued in connection with the semi-annual interest payments due on our Convertible Notes beginning in 2016 partially offset by interest income related to investments.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revenues and selected expense and other income data for the years ended December 31, 2014 and 2013:</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720" w:type="dxa"/>
            <w:vAlign w:val="bottom"/>
            <w:tcBorders>
              <w:top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4"/>
              </w:rPr>
              <w:t>2014 vs. 2013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25,245</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34,696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79,838</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54,875</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44,820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25,219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Net tax benefit</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4,693</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(6,084)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were $25.2 million for the year ended December 31, 2014, a decrease of $9.5 million, or 27%, from $34.7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2013. Net product sales were $0.7 million for the year ended December 31, 2014. In the third quarter of 2014, we began to recognize revenue for payments received under the reimbursed early access programs for Translarna for nmDMD patients in selected countries on a cash basis until we establish a pattern of collectability with our product. Total invoiced revenue in 2014 was $2.5 million, of which approximately $1.7 million was booked as deferred revenue. Collaboration revenue was $22.2 million for the year ended December 31, 2014, a decrease of $9.1 million, or 29%, from collaboration revenues of $31.3 million for the year ended December 31, 2013. The decrease was primarily due to a decrease in the recognition of the deferred revenue balance related to the amortization of approximately $16.8 million of upfront payments from grants and collaborations partially offset by milestone payments received from Roche for program achievements in the SMA program. Grant revenue was $2.3 million for the year ended December 31, 2014, a decrease of $1.1 million, or 32%, from grant revenue of $3.4 million for the year ended December 31, 2013.</w:t>
      </w:r>
    </w:p>
    <w:p>
      <w:pPr>
        <w:spacing w:after="0" w:line="174" w:lineRule="exact"/>
        <w:rPr>
          <w:sz w:val="20"/>
          <w:szCs w:val="20"/>
          <w:color w:val="auto"/>
        </w:rPr>
      </w:pPr>
    </w:p>
    <w:p>
      <w:pPr>
        <w:ind w:left="360"/>
        <w:spacing w:after="0"/>
        <w:tabs>
          <w:tab w:leader="none" w:pos="3040" w:val="left"/>
        </w:tabs>
        <w:rPr>
          <w:sz w:val="20"/>
          <w:szCs w:val="20"/>
          <w:color w:val="auto"/>
        </w:rPr>
      </w:pPr>
      <w:r>
        <w:rPr>
          <w:rFonts w:ascii="Arial" w:cs="Arial" w:eastAsia="Arial" w:hAnsi="Arial"/>
          <w:sz w:val="18"/>
          <w:szCs w:val="18"/>
          <w:i w:val="1"/>
          <w:iCs w:val="1"/>
          <w:color w:val="auto"/>
        </w:rPr>
        <w:t>Research and development expense.</w:t>
      </w:r>
      <w:r>
        <w:rPr>
          <w:sz w:val="20"/>
          <w:szCs w:val="20"/>
          <w:color w:val="auto"/>
        </w:rPr>
        <w:tab/>
      </w:r>
      <w:r>
        <w:rPr>
          <w:rFonts w:ascii="Arial" w:cs="Arial" w:eastAsia="Arial" w:hAnsi="Arial"/>
          <w:sz w:val="15"/>
          <w:szCs w:val="15"/>
          <w:color w:val="auto"/>
        </w:rPr>
        <w:t>Research and development expense was $79.8 million for the year ended December 31, 2014, an increase of</w:t>
      </w:r>
    </w:p>
    <w:p>
      <w:pPr>
        <w:spacing w:after="0" w:line="1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$24.9 million, or 45%, from $54.9 million for the year ended December 31, 2013. The increase resulted primarily from increased clinical trial expenses including the initiation of our ACT CF clinical trial, manufacturing of drug product and increase in non-cash, stock-based compensation expense of $5.4 million.</w:t>
      </w:r>
    </w:p>
    <w:p>
      <w:pPr>
        <w:spacing w:after="0" w:line="147"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was $44.8 million for the year ended December 31, 2014,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$19.6 million or 78% from $25.2 million for the year ended December 31, 2013. The increase resulted primarily from increased non-cash stock-based compensation expense of $5.5 million and increased costs related to our commercial launch activities and costs associated with establishing our international infrastructure.</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Net tax benefit. </w:t>
      </w:r>
      <w:r>
        <w:rPr>
          <w:rFonts w:ascii="Arial" w:cs="Arial" w:eastAsia="Arial" w:hAnsi="Arial"/>
          <w:sz w:val="18"/>
          <w:szCs w:val="18"/>
          <w:color w:val="auto"/>
        </w:rPr>
        <w:t>We recognized a tax benefit of $4.9 million related to our sale of net operating losses and research and development credits in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Jersey Technology Business Tax Certificate Transfer Program for the year ended December 31, 2014. We did not participate in this program during the year ended December 31, 2013.</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$1.2 million for the year ended December 31, 2014, an increase of $7.3 million from net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$6.1 million for the year ended December 31, 2013. The increase was primarily due to interest income related to investments offset by lower interest expense resulting from the payoff of debt in July 2013. Interest expense for the year ended December 31, 2013 was due to interest related to the debt discount associated with the convertible debt issued in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inception, we have incurred significant operating losses.</w:t>
      </w:r>
    </w:p>
    <w:p>
      <w:pPr>
        <w:spacing w:after="0" w:line="225" w:lineRule="exact"/>
        <w:rPr>
          <w:sz w:val="20"/>
          <w:szCs w:val="20"/>
          <w:color w:val="auto"/>
        </w:rPr>
      </w:pPr>
    </w:p>
    <w:p>
      <w:pPr>
        <w:ind w:right="20" w:firstLine="341"/>
        <w:spacing w:after="0" w:line="323" w:lineRule="auto"/>
        <w:rPr>
          <w:sz w:val="20"/>
          <w:szCs w:val="20"/>
          <w:color w:val="auto"/>
        </w:rPr>
      </w:pPr>
      <w:r>
        <w:rPr>
          <w:rFonts w:ascii="Arial" w:cs="Arial" w:eastAsia="Arial" w:hAnsi="Arial"/>
          <w:sz w:val="15"/>
          <w:szCs w:val="15"/>
          <w:color w:val="auto"/>
        </w:rPr>
        <w:t>As a growing commercial-stage biopharmaceutical company, we are engaging in significant commercialization efforts for Translarna for nmDMD while also devoting a substantial portion of our efforts on research and development programs related to Translarna and our other product candidates. During 2016, we expect that our revenues will be primarily generated from sales of Translarna in territories where we are permitted to distribute Translarna under our reimbursed early access programs, or EAP and those counties, in particular in the EEA, where we are able to obtain pricing and reimbursement approval at acceptable levels.</w:t>
      </w:r>
    </w:p>
    <w:p>
      <w:pPr>
        <w:spacing w:after="0" w:line="15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historically financed our operations primarily through the issuance and sale of our common stock in public offerings, the private placements of our preferred stock, collaborations, bank debt, convertible debt financings and grants and clinical trial support from governmental and philanthropic organizations and patient advocacy groups in the disease areas addressed by our product candidates. We expect to continue to incur significant expenses and operating losses for at least the next several years. The net losses we incur may fluctuate significantly from quarter to quarter.</w:t>
      </w:r>
    </w:p>
    <w:p>
      <w:pPr>
        <w:spacing w:after="0" w:line="16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February 2014, we closed a public offering of 5,163,265 shares of common stock at a public offering price of $24.50 per share, including 673,469 shares pursuant to the exercise by the underwriters of an overallotment option. We received net proceeds from the public offering of approximately $118.4 million after deducting underwriting discounts and commissions and other offering expenses payable by us.</w:t>
      </w:r>
    </w:p>
    <w:p>
      <w:pPr>
        <w:spacing w:after="0" w:line="194"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October 2014, we closed a public offering of 3,450,000 shares of common stock at a public offering price of $36.25 per share, including 450,000 shares pursuant to the exercise by the underwriters of their option to purchase additional shares. We received net proceeds from the public offering of approximately $117.6 million after deducting underwriting discounts and commissions and other offering expenses payable by us.</w:t>
      </w:r>
    </w:p>
    <w:p>
      <w:pPr>
        <w:spacing w:after="0" w:line="16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August 2015, we closed a private offering of $150 million in aggregate principal amount of 3.00% convertible senior notes due 2022, or the Convertible Notes, including the exercise by the initial purchasers of an option to purchase an additional $25 million in aggregate principal amount of the Convertible Notes. The Convertible Notes bear cash interest payable on February 15 and August 15 of each year, beginning on February 15, 2016. The Notes are senior unsecured obligations of ours and will mature on August 15, 2022, unless earlier converted, redeemed or repurchased in accordance with their terms prior to such date. We received net proceeds from the offering of approximately $145.4 million, after deducting the initial purchasers' discounts and commissions and the estimated offering expenses payable by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we had cash and cash equivalents and marketable securities of $338.9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regarding our cash flows and our capital expenditures for the periods indicated.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Years ended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3"/>
            <w:vMerge w:val="continue"/>
          </w:tcPr>
          <w:p>
            <w:pPr>
              <w:spacing w:after="0"/>
              <w:rPr>
                <w:sz w:val="12"/>
                <w:szCs w:val="12"/>
                <w:color w:val="auto"/>
              </w:rPr>
            </w:pPr>
          </w:p>
        </w:tc>
        <w:tc>
          <w:tcPr>
            <w:tcW w:w="78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76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(124,337)</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(57,274)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(20,811)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(145,168)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780" w:type="dxa"/>
            <w:vAlign w:val="bottom"/>
          </w:tcPr>
          <w:p>
            <w:pPr>
              <w:jc w:val="right"/>
              <w:spacing w:after="0"/>
              <w:rPr>
                <w:sz w:val="20"/>
                <w:szCs w:val="20"/>
                <w:color w:val="auto"/>
              </w:rPr>
            </w:pPr>
            <w:r>
              <w:rPr>
                <w:rFonts w:ascii="Arial" w:cs="Arial" w:eastAsia="Arial" w:hAnsi="Arial"/>
                <w:sz w:val="18"/>
                <w:szCs w:val="18"/>
                <w:color w:val="auto"/>
              </w:rPr>
              <w:t>154,061</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237,126</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187,439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Net cash used in operating activities was $124.3 million, $57.3 million, and $46.9 million for the years ended December 31, 2015, 2014, and 2013, respectively. The cash used in operating activities primarily related to supporting clinical development, including the manufacture of drug product, commercial launch activities for Translarna in the European Economic Area and other territories, and costs associated with the expansion of our international infrastructure for the years ended December 31, 2015, 2014, and 2013.</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Net cash used in investing activities was $20.8 million, $145.2 million, and $127.8 million for the years ended December 31, 2015, 2014, and 2013, respectively. Cash used in investing activities was primarily related to net purchases of marketable securities for the years ended December 31, 2015, 2014, and 2013.</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Net cash provided by financing activities in 2015 was primarily attributable to the $145.4 million in net proceeds from the issuance of the Convertible Notes in August 2015. Net cash provided by financing activities in 2014 was primarily attributable to approximately $118.4 million in net proceeds from the public offering in February 2014 and approximately $117.6 million in net proceeds from the public offering in October 2014. Net cash provided by financing activities in 2013 was primarily attributable to the $60.8 million in net proceeds that we received from the sale of Series Four preferred stock and $131.6 million in net proceeds that we received from our initial public offering in June of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We anticipate that our expenses will increase in connection with the expansion of our commercial infrastructure as we continue to establish an international presence and commercialize Translarna for the treatment of nmDMD, including sales and marketing, legal and regulatory, distribution and manufacturing, and administrative and employee-based expenses. In addition, we expect to continue to incur significant costs in connection with our ongoing confirmatory Phase 3 ACT CF clinical trial of Translarna as well as our Phase 2 proof-of-concept studies for nmMPS I, nonsense mutation aniridia and nonsense mutation Dravet syndrome/CDKL5. We also expect to incur ongoing research and development expenses for our other product candidates, including our ongoing Phase 1 clinical study under our cancer stem cell program. In addition, we may incur substantial costs in connection with our efforts to resolve the issues raised by the FDA in its Refuse to File letter regarding our NDA for Translarna for the treatment of nmDMD and our efforts to advance our regulatory submissions, including our recent submissions with the EMA related to our marketing authorization for Translarna for the treatment of nmDMD and our marketing authorization variation submission with the EMA, which seeks to include Translarna for the treatment of nmCF. We have begun seeking and intend to continue to seek marketing approval for Translarna for the treatment of nmDMD in territories outside of the EEA and we may also seek marketing approval for Translarna for other indications, and these efforts may significantly impact the timing and extent of our commercialization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our expenses will increase if and as we:</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initiate or continue the research and development of Translarna for additional indications and of our other product candidates;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are required to complete any additional clinical and non-clinical trials or analyses to enable FDA review of an NDA submission by us for Translarna for the treatment of nmDMD;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186"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We believe that our cash flows from product sales, together with existing cash and cash equivalents, including the net proceeds from our offering of 3.00% convertible senior notes due August 15, 2022, or the Convertible Notes, public offerings of common stock, marketable securities and research funding that we expect to receive under our collaborations, will be sufficient to fund our operating expenses and capital expenditure requirements for at least the next twelve months. We have based this estimate on assumptions that may prove to be wrong, and we could use our capital resources sooner than we currently expect.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1080" w:right="60" w:hanging="532"/>
        <w:spacing w:after="0" w:line="30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Translarna and our other product candidates, including those in connection with our recent submissions with the EMA related to our marketing authorization in the EEA for Translarna for the treatment of nmDMD and variation submission with the EMA to seek inclusion of Translarna for the treatment of nmCF on our current marketing authorization;</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EMA and regulators in other territories agree with our interpretation of the results of ACT DMD;</w:t>
      </w:r>
    </w:p>
    <w:p>
      <w:pPr>
        <w:spacing w:after="0" w:line="252"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progress and results of our confirmatory Phase 3 ACT CF clinical trial of Translarna as well as our Phase 2 proof of concept studies for nmMPS I and nonsense mutation aniridia and nonsense mutation Dravet syndrome/CDKL5 and our ongoing Phase 1 clinical study under our cancer stem cell program;</w:t>
      </w:r>
    </w:p>
    <w:p>
      <w:pPr>
        <w:spacing w:after="0" w:line="207"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work with the FDA to resolve the matters set forth in the Refuse to File letter we received in connection with our NDA for Translarna for the treatment of nmDMD, including with respect to timing and outcome, such as, among other things, whether we will be required to perform additional clinical and non-clinical trials at significant cost and whether such trials, if successful, may enable FDA review of a NDA submission;</w:t>
      </w:r>
    </w:p>
    <w:p>
      <w:pPr>
        <w:spacing w:after="0" w:line="210"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costs and timing of our commercialization activities, including product sales, marketing, legal, regulatory, distribution and manufacturing, in the EEA for nmDMD and any of our other product candidates that may receive marketing authorization or any additional indications or territories in which we receive authorization to market Translarna;</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scope of growth in our employee base;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Translarna for additional indications and for our other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received from commercial sales of Translarna or any of our other product candidates;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successfully negotiate adequate pricing and reimbursement processes on a timely basis, or at all, in the countries in which we may obtain regulatory approval, including the countries in the European Economic Area;</w:t>
      </w:r>
    </w:p>
    <w:p>
      <w:pPr>
        <w:spacing w:after="0" w:line="212" w:lineRule="exact"/>
        <w:rPr>
          <w:rFonts w:ascii="Arial" w:cs="Arial" w:eastAsia="Arial" w:hAnsi="Arial"/>
          <w:sz w:val="18"/>
          <w:szCs w:val="18"/>
          <w:color w:val="auto"/>
        </w:rPr>
      </w:pPr>
    </w:p>
    <w:p>
      <w:pPr>
        <w:ind w:left="1080" w:right="22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and willingness of patients and healthcare professionals be able to access Translarna through alternative means if pricing and reimbursement negotiations in the applicable territory do not have a positive outcome, including whether Translarna may be accessed through a reimbursed importation pathway provided under German law and whether such pathway will minimize any access issues for German patients while maintaining a sustainable price;</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property-related claims;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to which we acquire or invest in other businesses, products and technologies; and</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including our collaborations with Roche and the SMA Foundation, and our ability to obtain research funding and achieve milestones under these agreements.</w:t>
      </w:r>
    </w:p>
    <w:p>
      <w:pPr>
        <w:spacing w:after="0" w:line="186"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Furthermore, as a result of our initial public offering in June 2013, we have incurred and expect to continue to incur additional costs associated with operating as a public company. These costs include significant legal, accounting, investor relations and other expenses that we did not incur as a private company.</w:t>
      </w:r>
    </w:p>
    <w:p>
      <w:pPr>
        <w:spacing w:after="0" w:line="116" w:lineRule="exact"/>
        <w:rPr>
          <w:sz w:val="20"/>
          <w:szCs w:val="20"/>
          <w:color w:val="auto"/>
        </w:rPr>
      </w:pPr>
    </w:p>
    <w:p>
      <w:pPr>
        <w:ind w:right="20" w:firstLine="348"/>
        <w:spacing w:after="0" w:line="308" w:lineRule="auto"/>
        <w:rPr>
          <w:sz w:val="20"/>
          <w:szCs w:val="20"/>
          <w:color w:val="auto"/>
        </w:rPr>
      </w:pPr>
      <w:r>
        <w:rPr>
          <w:rFonts w:ascii="Arial" w:cs="Arial" w:eastAsia="Arial" w:hAnsi="Arial"/>
          <w:sz w:val="15"/>
          <w:szCs w:val="15"/>
          <w:color w:val="auto"/>
        </w:rPr>
        <w:t>We will need to generate significant revenues to achieve and sustain profitability, and we may never do so. We may need to obtain substantial additional funding in connection with our continuing operations. Until such time, if ever, as we can generate substantial product revenues, we expect to finance our cash needs primarily through a combination of equity offerings, debt financings, collaborations, strategic alliances, grants and clinical trial support from governmental and philanthropic organizations and patient advocacy groups in the disease areas addressed by our product and product candidates and marketing, distribution or licensing arrangements. Adequate additional financing may not be available to us on acceptable terms, or at all. 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to grant licenses on terms that may not be favorable to us.</w:t>
      </w:r>
    </w:p>
    <w:p>
      <w:pPr>
        <w:spacing w:after="0" w:line="163"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we are unable to raise additional funds through equity or debt financings when needed or on attractive terms, we may be required to delay, limit, reduce or terminate our product development or commercialization efforts or grant rights to develop and market product candidates that we would otherwise prefer to develop and market ourselves.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significant contractual obligations and commercial commitments as of December 31, 2015.</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More than</w:t>
            </w: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6"/>
              </w:rPr>
              <w:t>1 - 3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6"/>
              </w:rPr>
              <w:t>4 - 5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Accrued milestone payments (2)</w:t>
            </w:r>
          </w:p>
        </w:tc>
        <w:tc>
          <w:tcPr>
            <w:tcW w:w="700" w:type="dxa"/>
            <w:vAlign w:val="bottom"/>
          </w:tcPr>
          <w:p>
            <w:pPr>
              <w:jc w:val="right"/>
              <w:spacing w:after="0"/>
              <w:rPr>
                <w:sz w:val="20"/>
                <w:szCs w:val="20"/>
                <w:color w:val="auto"/>
              </w:rPr>
            </w:pPr>
            <w:r>
              <w:rPr>
                <w:rFonts w:ascii="Arial" w:cs="Arial" w:eastAsia="Arial" w:hAnsi="Arial"/>
                <w:sz w:val="18"/>
                <w:szCs w:val="18"/>
                <w:color w:val="auto"/>
              </w:rPr>
              <w:t>810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 including interest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154,500</w:t>
            </w:r>
          </w:p>
        </w:tc>
        <w:tc>
          <w:tcPr>
            <w:tcW w:w="160" w:type="dxa"/>
            <w:vAlign w:val="bottom"/>
            <w:shd w:val="clear" w:color="auto" w:fill="CCEEFF"/>
          </w:tcPr>
          <w:p>
            <w:pPr>
              <w:spacing w:after="0"/>
              <w:rPr>
                <w:sz w:val="18"/>
                <w:szCs w:val="18"/>
                <w:color w:val="auto"/>
              </w:rPr>
            </w:pPr>
          </w:p>
        </w:tc>
      </w:tr>
      <w:tr>
        <w:trPr>
          <w:trHeight w:val="210"/>
        </w:trPr>
        <w:tc>
          <w:tcPr>
            <w:tcW w:w="4560" w:type="dxa"/>
            <w:vAlign w:val="bottom"/>
            <w:gridSpan w:val="3"/>
          </w:tcPr>
          <w:p>
            <w:pPr>
              <w:spacing w:after="0"/>
              <w:rPr>
                <w:sz w:val="20"/>
                <w:szCs w:val="20"/>
                <w:color w:val="auto"/>
              </w:rPr>
            </w:pPr>
            <w:r>
              <w:rPr>
                <w:rFonts w:ascii="Arial" w:cs="Arial" w:eastAsia="Arial" w:hAnsi="Arial"/>
                <w:sz w:val="18"/>
                <w:szCs w:val="18"/>
                <w:color w:val="auto"/>
              </w:rPr>
              <w:t>Total contractual obligations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186,016</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6,839</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15,677</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120" w:hanging="531"/>
        <w:spacing w:after="0" w:line="259"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lease office space for our principal office in South Plainfield, New Jersey under a noncancelable operating lease with a term that extends through February 2019. In addition, we lease office space in various countries for our international employees primarily through workspace providers.</w:t>
      </w:r>
    </w:p>
    <w:p>
      <w:pPr>
        <w:spacing w:after="0" w:line="221" w:lineRule="exact"/>
        <w:rPr>
          <w:rFonts w:ascii="Arial" w:cs="Arial" w:eastAsia="Arial" w:hAnsi="Arial"/>
          <w:sz w:val="18"/>
          <w:szCs w:val="18"/>
          <w:color w:val="auto"/>
        </w:rPr>
      </w:pPr>
    </w:p>
    <w:p>
      <w:pPr>
        <w:ind w:left="1680" w:right="100" w:hanging="531"/>
        <w:spacing w:after="0" w:line="268"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 our funding agreement with Wellcome Trust, we have accrued our milestone payment expected to be paid in the second quarter of 2016.</w:t>
      </w:r>
    </w:p>
    <w:p>
      <w:pPr>
        <w:spacing w:after="0" w:line="199" w:lineRule="exact"/>
        <w:rPr>
          <w:rFonts w:ascii="Arial" w:cs="Arial" w:eastAsia="Arial" w:hAnsi="Arial"/>
          <w:sz w:val="18"/>
          <w:szCs w:val="18"/>
          <w:color w:val="auto"/>
        </w:rPr>
      </w:pPr>
    </w:p>
    <w:p>
      <w:pPr>
        <w:ind w:left="1680" w:right="440" w:hanging="531"/>
        <w:spacing w:after="0" w:line="332" w:lineRule="auto"/>
        <w:tabs>
          <w:tab w:leader="none" w:pos="1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long-term debt obligations reflect our obligations under the 2022 notes to pay interest on the $150.0 million aggregate principal amount of the 2022 notes and to make principal payments on the 2022 notes at maturity or upon conversion.</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preceding table excludes contingent contractual payments that we may become obligated to make. Under various agreements, we will be required to pay royalties and milestone payments upon the successful development and commercialization of products, including the following agreements with The Wellcome Trust Limited, or Wellcome Trust, and the SMA Foundation.</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entered into funding agreements with Wellcome Trust for the research and development of small molecule compounds in connection with our cancer stem cell and antibacterial programs. To the extent that we develop and commercialize program intellectual property on a for-profit basis, we may become obligated to pay to Wellcome Trust development and regulatory milestone payments of up to an aggregate of $68.9 million and single-digit royalties on sales of any research program product. Our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Our first such milestone payment of $0.8 million payable to Wellcome Trust is expected to occur in the second quarter of 2016.</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also entered into a sponsored research agreement with the SMA Foundation in connection with our spinal muscular atrophy program. We may become obligated to pay the SMA Foundation single-digit royalties on worldwide net product sales of any collaboration product that we successfully develop and subsequently commercialize or, with respect to collaboration products we outlicense, a specified percentage of certain payments we receive from our licensee. We are not obligated to make such payments unless and until annual sales of a collaboration product exceed a designated threshold. Our obligation to make such payments would end upon our payment to the SMA Foundation of a specified amount.</w:t>
      </w:r>
    </w:p>
    <w:p>
      <w:pPr>
        <w:spacing w:after="0" w:line="170"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have employment agreements with certain employees which require the funding of a specific level of payments, if certain events, such as a change in control or termination without cause, occur.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are exposed to market risk related to changes in interest rates. Our primary exposure to market risk is interest rate sensitivity, which is affected by changes in the general level of U.S. interest rates, particularly because our investments are in short-term securities. Our available for sale securities are subject to interest rate risk and will fall in value if market interest rates increase. At any time, sharp changes in interest rates can affect the fair value of the investment portfolio and its interest earnings. After a review of our marketable investment securities, we believe that in the event of a hypothetical ten percent increase in interest rates, the resulting decrease in fair value of our marketable investment securities would be insignificant to the consolidated financial statements. Currently, we do not hedge these interest rate exposures.</w:t>
      </w:r>
    </w:p>
    <w:p>
      <w:pPr>
        <w:spacing w:after="0" w:line="17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result of our foreign operations, we face exposure to movements in foreign currency exchange rates, including the British Pound, Euro and Swiss Franc against the U.S. dollar. The current exposures arise primarily from cash, accounts receivable, intercompany receivables and payables, and product sales denominated in foreign currencies. Both positive and negative impacts to our international product sales from movements in foreign currency exchange rates may be partially mitigated by the natural, opposite impact that foreign currency exchange rates have on our international operating expenses. A hypothetical ten percent increase or decrease in the exchange rate between the U.S. dollar and the British Pound, Euro or Swiss Franc from the December 31, 2015 rate would cause the fair value of such monetary assets and liabilities to change by an insignificant amount. We are not currently engaged in any foreign currency hedging activities. We will evaluate the use of derivative financial instruments to hedge our exposure as the needs and risks should arise.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86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51"/>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540" w:type="dxa"/>
            <w:vAlign w:val="bottom"/>
          </w:tcPr>
          <w:p>
            <w:pPr>
              <w:spacing w:after="0"/>
              <w:rPr>
                <w:sz w:val="24"/>
                <w:szCs w:val="24"/>
                <w:color w:val="auto"/>
              </w:rPr>
            </w:pP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540" w:type="dxa"/>
            <w:vAlign w:val="bottom"/>
          </w:tcPr>
          <w:p>
            <w:pPr>
              <w:spacing w:after="0"/>
              <w:rPr>
                <w:sz w:val="24"/>
                <w:szCs w:val="24"/>
                <w:color w:val="auto"/>
              </w:rPr>
            </w:pPr>
          </w:p>
        </w:tc>
      </w:tr>
      <w:tr>
        <w:trPr>
          <w:trHeight w:val="426"/>
        </w:trPr>
        <w:tc>
          <w:tcPr>
            <w:tcW w:w="9880" w:type="dxa"/>
            <w:vAlign w:val="bottom"/>
            <w:gridSpan w:val="2"/>
          </w:tcPr>
          <w:p>
            <w:pPr>
              <w:ind w:left="1140"/>
              <w:spacing w:after="0"/>
              <w:rPr>
                <w:sz w:val="20"/>
                <w:szCs w:val="20"/>
                <w:color w:val="auto"/>
              </w:rPr>
            </w:pPr>
            <w:r>
              <w:rPr>
                <w:rFonts w:ascii="Arial" w:cs="Arial" w:eastAsia="Arial" w:hAnsi="Arial"/>
                <w:sz w:val="18"/>
                <w:szCs w:val="18"/>
                <w:color w:val="auto"/>
              </w:rPr>
              <w:t>Reports of independent registered public accounting firm</w:t>
            </w:r>
          </w:p>
        </w:tc>
        <w:tc>
          <w:tcPr>
            <w:tcW w:w="1540" w:type="dxa"/>
            <w:vAlign w:val="bottom"/>
          </w:tcPr>
          <w:p>
            <w:pPr>
              <w:jc w:val="right"/>
              <w:ind w:right="1052"/>
              <w:spacing w:after="0"/>
              <w:rPr>
                <w:sz w:val="20"/>
                <w:szCs w:val="20"/>
                <w:color w:val="auto"/>
              </w:rPr>
            </w:pPr>
            <w:r>
              <w:rPr>
                <w:rFonts w:ascii="Arial" w:cs="Arial" w:eastAsia="Arial" w:hAnsi="Arial"/>
                <w:sz w:val="18"/>
                <w:szCs w:val="18"/>
                <w:color w:val="auto"/>
              </w:rPr>
              <w:t>133</w:t>
            </w:r>
          </w:p>
        </w:tc>
      </w:tr>
      <w:tr>
        <w:trPr>
          <w:trHeight w:val="216"/>
        </w:trPr>
        <w:tc>
          <w:tcPr>
            <w:tcW w:w="9880" w:type="dxa"/>
            <w:vAlign w:val="bottom"/>
            <w:gridSpan w:val="2"/>
          </w:tcPr>
          <w:p>
            <w:pPr>
              <w:ind w:left="1140"/>
              <w:spacing w:after="0"/>
              <w:rPr>
                <w:sz w:val="20"/>
                <w:szCs w:val="20"/>
                <w:color w:val="auto"/>
              </w:rPr>
            </w:pPr>
            <w:r>
              <w:rPr>
                <w:rFonts w:ascii="Arial" w:cs="Arial" w:eastAsia="Arial" w:hAnsi="Arial"/>
                <w:sz w:val="18"/>
                <w:szCs w:val="18"/>
                <w:color w:val="auto"/>
              </w:rPr>
              <w:t>Consolidated Balance Sheets as of December 31, 2015 and 2014</w:t>
            </w:r>
          </w:p>
        </w:tc>
        <w:tc>
          <w:tcPr>
            <w:tcW w:w="1540" w:type="dxa"/>
            <w:vAlign w:val="bottom"/>
          </w:tcPr>
          <w:p>
            <w:pPr>
              <w:jc w:val="right"/>
              <w:ind w:right="1052"/>
              <w:spacing w:after="0"/>
              <w:rPr>
                <w:sz w:val="20"/>
                <w:szCs w:val="20"/>
                <w:color w:val="auto"/>
              </w:rPr>
            </w:pPr>
            <w:r>
              <w:rPr>
                <w:rFonts w:ascii="Arial" w:cs="Arial" w:eastAsia="Arial" w:hAnsi="Arial"/>
                <w:sz w:val="18"/>
                <w:szCs w:val="18"/>
                <w:color w:val="auto"/>
              </w:rPr>
              <w:t>135</w:t>
            </w:r>
          </w:p>
        </w:tc>
      </w:tr>
      <w:tr>
        <w:trPr>
          <w:trHeight w:val="216"/>
        </w:trPr>
        <w:tc>
          <w:tcPr>
            <w:tcW w:w="9880" w:type="dxa"/>
            <w:vAlign w:val="bottom"/>
            <w:gridSpan w:val="2"/>
          </w:tcPr>
          <w:p>
            <w:pPr>
              <w:ind w:left="1140"/>
              <w:spacing w:after="0"/>
              <w:rPr>
                <w:sz w:val="20"/>
                <w:szCs w:val="20"/>
                <w:color w:val="auto"/>
              </w:rPr>
            </w:pPr>
            <w:r>
              <w:rPr>
                <w:rFonts w:ascii="Arial" w:cs="Arial" w:eastAsia="Arial" w:hAnsi="Arial"/>
                <w:sz w:val="18"/>
                <w:szCs w:val="18"/>
                <w:color w:val="auto"/>
              </w:rPr>
              <w:t>Consolidated Statements of Operations for the years ended December 31, 2015, 2014 and 2013</w:t>
            </w:r>
          </w:p>
        </w:tc>
        <w:tc>
          <w:tcPr>
            <w:tcW w:w="1540" w:type="dxa"/>
            <w:vAlign w:val="bottom"/>
          </w:tcPr>
          <w:p>
            <w:pPr>
              <w:jc w:val="right"/>
              <w:ind w:right="1052"/>
              <w:spacing w:after="0"/>
              <w:rPr>
                <w:sz w:val="20"/>
                <w:szCs w:val="20"/>
                <w:color w:val="auto"/>
              </w:rPr>
            </w:pPr>
            <w:r>
              <w:rPr>
                <w:rFonts w:ascii="Arial" w:cs="Arial" w:eastAsia="Arial" w:hAnsi="Arial"/>
                <w:sz w:val="18"/>
                <w:szCs w:val="18"/>
                <w:color w:val="auto"/>
              </w:rPr>
              <w:t>136</w:t>
            </w:r>
          </w:p>
        </w:tc>
      </w:tr>
      <w:tr>
        <w:trPr>
          <w:trHeight w:val="216"/>
        </w:trPr>
        <w:tc>
          <w:tcPr>
            <w:tcW w:w="9880" w:type="dxa"/>
            <w:vAlign w:val="bottom"/>
            <w:gridSpan w:val="2"/>
          </w:tcPr>
          <w:p>
            <w:pPr>
              <w:ind w:left="1140"/>
              <w:spacing w:after="0"/>
              <w:rPr>
                <w:sz w:val="20"/>
                <w:szCs w:val="20"/>
                <w:color w:val="auto"/>
              </w:rPr>
            </w:pPr>
            <w:r>
              <w:rPr>
                <w:rFonts w:ascii="Arial" w:cs="Arial" w:eastAsia="Arial" w:hAnsi="Arial"/>
                <w:sz w:val="18"/>
                <w:szCs w:val="18"/>
                <w:color w:val="auto"/>
              </w:rPr>
              <w:t>Consolidated Statements of Comprehensive Loss for the years ended December 31, 2015, 2014 and 2013</w:t>
            </w:r>
          </w:p>
        </w:tc>
        <w:tc>
          <w:tcPr>
            <w:tcW w:w="1540" w:type="dxa"/>
            <w:vAlign w:val="bottom"/>
          </w:tcPr>
          <w:p>
            <w:pPr>
              <w:jc w:val="right"/>
              <w:ind w:right="1052"/>
              <w:spacing w:after="0"/>
              <w:rPr>
                <w:sz w:val="20"/>
                <w:szCs w:val="20"/>
                <w:color w:val="auto"/>
              </w:rPr>
            </w:pPr>
            <w:r>
              <w:rPr>
                <w:rFonts w:ascii="Arial" w:cs="Arial" w:eastAsia="Arial" w:hAnsi="Arial"/>
                <w:sz w:val="18"/>
                <w:szCs w:val="18"/>
                <w:color w:val="auto"/>
              </w:rPr>
              <w:t>137</w:t>
            </w:r>
          </w:p>
        </w:tc>
      </w:tr>
      <w:tr>
        <w:trPr>
          <w:trHeight w:val="216"/>
        </w:trPr>
        <w:tc>
          <w:tcPr>
            <w:tcW w:w="9880" w:type="dxa"/>
            <w:vAlign w:val="bottom"/>
            <w:gridSpan w:val="2"/>
          </w:tcPr>
          <w:p>
            <w:pPr>
              <w:ind w:left="1140"/>
              <w:spacing w:after="0"/>
              <w:rPr>
                <w:sz w:val="20"/>
                <w:szCs w:val="20"/>
                <w:color w:val="auto"/>
              </w:rPr>
            </w:pPr>
            <w:r>
              <w:rPr>
                <w:rFonts w:ascii="Arial" w:cs="Arial" w:eastAsia="Arial" w:hAnsi="Arial"/>
                <w:sz w:val="18"/>
                <w:szCs w:val="18"/>
                <w:color w:val="auto"/>
                <w:w w:val="89"/>
              </w:rPr>
              <w:t>Consolidated Statements of Convertible Preferred Stock and Changes in Stockholders' Equity (Deficit) for the years ended</w:t>
            </w:r>
          </w:p>
        </w:tc>
        <w:tc>
          <w:tcPr>
            <w:tcW w:w="15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December 31, 2015, 2014 and 2013</w:t>
            </w:r>
          </w:p>
        </w:tc>
        <w:tc>
          <w:tcPr>
            <w:tcW w:w="1540" w:type="dxa"/>
            <w:vAlign w:val="bottom"/>
          </w:tcPr>
          <w:p>
            <w:pPr>
              <w:jc w:val="right"/>
              <w:ind w:right="1052"/>
              <w:spacing w:after="0"/>
              <w:rPr>
                <w:sz w:val="20"/>
                <w:szCs w:val="20"/>
                <w:color w:val="auto"/>
              </w:rPr>
            </w:pPr>
            <w:r>
              <w:rPr>
                <w:rFonts w:ascii="Arial" w:cs="Arial" w:eastAsia="Arial" w:hAnsi="Arial"/>
                <w:sz w:val="18"/>
                <w:szCs w:val="18"/>
                <w:color w:val="auto"/>
              </w:rPr>
              <w:t>138</w:t>
            </w:r>
          </w:p>
        </w:tc>
      </w:tr>
      <w:tr>
        <w:trPr>
          <w:trHeight w:val="216"/>
        </w:trPr>
        <w:tc>
          <w:tcPr>
            <w:tcW w:w="9880" w:type="dxa"/>
            <w:vAlign w:val="bottom"/>
            <w:gridSpan w:val="2"/>
          </w:tcPr>
          <w:p>
            <w:pPr>
              <w:ind w:left="1140"/>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tc>
        <w:tc>
          <w:tcPr>
            <w:tcW w:w="1540" w:type="dxa"/>
            <w:vAlign w:val="bottom"/>
          </w:tcPr>
          <w:p>
            <w:pPr>
              <w:jc w:val="right"/>
              <w:ind w:right="1052"/>
              <w:spacing w:after="0"/>
              <w:rPr>
                <w:sz w:val="20"/>
                <w:szCs w:val="20"/>
                <w:color w:val="auto"/>
              </w:rPr>
            </w:pPr>
            <w:r>
              <w:rPr>
                <w:rFonts w:ascii="Arial" w:cs="Arial" w:eastAsia="Arial" w:hAnsi="Arial"/>
                <w:sz w:val="18"/>
                <w:szCs w:val="18"/>
                <w:color w:val="auto"/>
              </w:rPr>
              <w:t>139</w:t>
            </w:r>
          </w:p>
        </w:tc>
      </w:tr>
      <w:tr>
        <w:trPr>
          <w:trHeight w:val="222"/>
        </w:trPr>
        <w:tc>
          <w:tcPr>
            <w:tcW w:w="9880" w:type="dxa"/>
            <w:vAlign w:val="bottom"/>
            <w:gridSpan w:val="2"/>
          </w:tcPr>
          <w:p>
            <w:pPr>
              <w:ind w:left="1140"/>
              <w:spacing w:after="0"/>
              <w:rPr>
                <w:sz w:val="20"/>
                <w:szCs w:val="20"/>
                <w:color w:val="auto"/>
              </w:rPr>
            </w:pPr>
            <w:r>
              <w:rPr>
                <w:rFonts w:ascii="Arial" w:cs="Arial" w:eastAsia="Arial" w:hAnsi="Arial"/>
                <w:sz w:val="18"/>
                <w:szCs w:val="18"/>
                <w:color w:val="auto"/>
              </w:rPr>
              <w:t>Notes to Consolidated Financial Statements</w:t>
            </w:r>
          </w:p>
        </w:tc>
        <w:tc>
          <w:tcPr>
            <w:tcW w:w="1540" w:type="dxa"/>
            <w:vAlign w:val="bottom"/>
          </w:tcPr>
          <w:p>
            <w:pPr>
              <w:jc w:val="right"/>
              <w:ind w:right="1052"/>
              <w:spacing w:after="0"/>
              <w:rPr>
                <w:sz w:val="20"/>
                <w:szCs w:val="20"/>
                <w:color w:val="auto"/>
              </w:rPr>
            </w:pPr>
            <w:r>
              <w:rPr>
                <w:rFonts w:ascii="Arial" w:cs="Arial" w:eastAsia="Arial" w:hAnsi="Arial"/>
                <w:sz w:val="18"/>
                <w:szCs w:val="18"/>
                <w:color w:val="auto"/>
              </w:rPr>
              <w:t>140</w:t>
            </w:r>
          </w:p>
        </w:tc>
      </w:tr>
      <w:tr>
        <w:trPr>
          <w:trHeight w:val="432"/>
        </w:trPr>
        <w:tc>
          <w:tcPr>
            <w:tcW w:w="9880" w:type="dxa"/>
            <w:vAlign w:val="bottom"/>
            <w:gridSpan w:val="2"/>
          </w:tcPr>
          <w:p>
            <w:pPr>
              <w:ind w:left="5580"/>
              <w:spacing w:after="0"/>
              <w:rPr>
                <w:sz w:val="20"/>
                <w:szCs w:val="20"/>
                <w:color w:val="auto"/>
              </w:rPr>
            </w:pPr>
            <w:r>
              <w:rPr>
                <w:rFonts w:ascii="Arial" w:cs="Arial" w:eastAsia="Arial" w:hAnsi="Arial"/>
                <w:sz w:val="18"/>
                <w:szCs w:val="18"/>
                <w:color w:val="auto"/>
              </w:rPr>
              <w:t>132</w:t>
            </w:r>
          </w:p>
        </w:tc>
        <w:tc>
          <w:tcPr>
            <w:tcW w:w="1540" w:type="dxa"/>
            <w:vAlign w:val="bottom"/>
          </w:tcPr>
          <w:p>
            <w:pPr>
              <w:spacing w:after="0"/>
              <w:rPr>
                <w:sz w:val="24"/>
                <w:szCs w:val="24"/>
                <w:color w:val="auto"/>
              </w:rPr>
            </w:pPr>
          </w:p>
        </w:tc>
      </w:tr>
      <w:tr>
        <w:trPr>
          <w:trHeight w:val="228"/>
        </w:trPr>
        <w:tc>
          <w:tcPr>
            <w:tcW w:w="1260" w:type="dxa"/>
            <w:vAlign w:val="bottom"/>
            <w:tcBorders>
              <w:bottom w:val="single" w:sz="8" w:color="808080"/>
            </w:tcBorders>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PTC Therapeutics, Inc.</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have audited the accompanying consolidated balance sheets of PTC Therapeutics, Inc. (the "Company") as of December 31, 2015 and 2014, and the related consolidated statements of operations, comprehensive loss, statements of convertible preferred stock and changes in stockholders'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at December 31, 2015 and 2014, and the consolidated results of its operations and its cash flows for each of the three years in the period ended December 31, 2015, in conformity with U.S. generally accepted accounting principles.</w:t>
      </w:r>
    </w:p>
    <w:p>
      <w:pPr>
        <w:spacing w:after="0" w:line="19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2015, based on criteria established in Internal Control—Integrated Framework issued by the Committee of Sponsoring Organizations of the Treadway Commission (2013 framework) and our report dated February 29, 2016 expressed an unqualified opinion thereon.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PTC Therapeutics, Inc.</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audited PTC Therapeutics, Inc. (the "Company") internal control over financial reporting as of December 31, 2015, based on criteria established in Internal Control—Integrated Framework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2015, based on the COSO criteria.</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the Company as of December 31, 2015 and 2014 and the related consolidated statements of operations, comprehensive loss, statements of convertible preferred stock and changes in stockholders' equity, and cash flows for each of the three years in the period ended December 31, 2015 and our report dated February 29, 2016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280,903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265,493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Trade receivables, net</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323,571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Fixed assets,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60" w:type="dxa"/>
            <w:vAlign w:val="bottom"/>
            <w:shd w:val="clear" w:color="auto" w:fill="CCEEFF"/>
          </w:tcPr>
          <w:p>
            <w:pPr>
              <w:spacing w:after="0"/>
              <w:rPr>
                <w:sz w:val="18"/>
                <w:szCs w:val="18"/>
                <w:color w:val="auto"/>
              </w:rPr>
            </w:pPr>
          </w:p>
        </w:tc>
      </w:tr>
      <w:tr>
        <w:trPr>
          <w:trHeight w:val="210"/>
        </w:trPr>
        <w:tc>
          <w:tcPr>
            <w:tcW w:w="6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333,219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60" w:type="dxa"/>
            <w:vAlign w:val="bottom"/>
            <w:shd w:val="clear" w:color="auto" w:fill="CCEEFF"/>
          </w:tcPr>
          <w:p>
            <w:pPr>
              <w:spacing w:after="0"/>
              <w:rPr>
                <w:sz w:val="18"/>
                <w:szCs w:val="18"/>
                <w:color w:val="auto"/>
              </w:rPr>
            </w:pPr>
          </w:p>
        </w:tc>
      </w:tr>
      <w:tr>
        <w:trPr>
          <w:trHeight w:val="210"/>
        </w:trPr>
        <w:tc>
          <w:tcPr>
            <w:tcW w:w="68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w w:val="91"/>
              </w:rPr>
              <w:t>Common stock, $0.001 par value. Authorized 125,000,000 shares; issued and outstanding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w w:val="93"/>
              </w:rPr>
              <w:t>33,916,559 shares at December 31, 2015. Authorized 125,000,000 shares; issued and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outstanding 32,898,392 shares at December 31, 2014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(592,998)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(422,551)</w:t>
            </w:r>
          </w:p>
        </w:tc>
      </w:tr>
      <w:tr>
        <w:trPr>
          <w:trHeight w:val="210"/>
        </w:trPr>
        <w:tc>
          <w:tcPr>
            <w:tcW w:w="68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298,467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368,041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333,219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consolidated notes.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Net product revenue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33,696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and grant revenue</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121,816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79,838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(167,130)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(2,367)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tax (expense) benefit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(169,962)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(170,447)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(93,753)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Deemed dividend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6"/>
              </w:rPr>
              <w:t>Gain on exchange of convertible preferred stock in connection with</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recapitalization</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(170,447</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outstanding:</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Basic and diluted (in shares)</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33,626,248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31,565,310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12,829,411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 (in dollars per share)</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(5.07)</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(2.97)</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consolidated notes.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(170,447)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(93,753)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(loss)/gain on marketable securities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Foreign currency translation loss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(170,910)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(94,560)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consolidated notes.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PTC Therapeutics, Inc.</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15"/>
          <w:szCs w:val="15"/>
          <w:b w:val="1"/>
          <w:bCs w:val="1"/>
          <w:color w:val="auto"/>
        </w:rPr>
        <w:t>Consolidated Statements of Convertible Preferred Stock and Changes in Stockholders' Equity (Deficit)</w:t>
      </w:r>
    </w:p>
    <w:p>
      <w:pPr>
        <w:spacing w:after="0" w:line="4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Period from January 1, 2013 through December 31, 2015</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 thousands, except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238760</wp:posOffset>
            </wp:positionV>
            <wp:extent cx="6080125" cy="8035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80125" cy="8035290"/>
                    </a:xfrm>
                    <a:prstGeom prst="rect">
                      <a:avLst/>
                    </a:prstGeom>
                    <a:noFill/>
                  </pic:spPr>
                </pic:pic>
              </a:graphicData>
            </a:graphic>
          </wp:anchor>
        </w:drawing>
      </w:r>
    </w:p>
    <w:p>
      <w:pPr>
        <w:sectPr>
          <w:pgSz w:w="11900" w:h="16838" w:orient="portrait"/>
          <w:cols w:equalWidth="0" w:num="1">
            <w:col w:w="10720"/>
          </w:cols>
          <w:pgMar w:left="240" w:top="131" w:right="939" w:bottom="1006" w:gutter="0" w:footer="0" w:header="0"/>
        </w:sectPr>
      </w:pP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3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5"/>
              </w:rPr>
              <w:t>Series one - three</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Series four</w:t>
            </w:r>
          </w:p>
        </w:tc>
        <w:tc>
          <w:tcPr>
            <w:tcW w:w="40" w:type="dxa"/>
            <w:vAlign w:val="bottom"/>
          </w:tcPr>
          <w:p>
            <w:pPr>
              <w:spacing w:after="0"/>
              <w:rPr>
                <w:sz w:val="14"/>
                <w:szCs w:val="14"/>
                <w:color w:val="auto"/>
              </w:rPr>
            </w:pPr>
          </w:p>
        </w:tc>
        <w:tc>
          <w:tcPr>
            <w:tcW w:w="12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Series five</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3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convertible</w:t>
            </w:r>
          </w:p>
        </w:tc>
        <w:tc>
          <w:tcPr>
            <w:tcW w:w="40" w:type="dxa"/>
            <w:vAlign w:val="bottom"/>
          </w:tcPr>
          <w:p>
            <w:pPr>
              <w:spacing w:after="0"/>
              <w:rPr>
                <w:sz w:val="12"/>
                <w:szCs w:val="12"/>
                <w:color w:val="auto"/>
              </w:rPr>
            </w:pPr>
          </w:p>
        </w:tc>
        <w:tc>
          <w:tcPr>
            <w:tcW w:w="12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60" w:type="dxa"/>
            <w:vAlign w:val="bottom"/>
          </w:tcPr>
          <w:p>
            <w:pPr>
              <w:spacing w:after="0"/>
              <w:rPr>
                <w:sz w:val="14"/>
                <w:szCs w:val="1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4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vMerge w:val="restart"/>
          </w:tcPr>
          <w:p>
            <w:pPr>
              <w:spacing w:after="0"/>
              <w:rPr>
                <w:sz w:val="20"/>
                <w:szCs w:val="20"/>
                <w:color w:val="auto"/>
              </w:rPr>
            </w:pPr>
            <w:r>
              <w:rPr>
                <w:rFonts w:ascii="Arial" w:cs="Arial" w:eastAsia="Arial" w:hAnsi="Arial"/>
                <w:sz w:val="14"/>
                <w:szCs w:val="14"/>
                <w:color w:val="auto"/>
              </w:rPr>
              <w:t>Balance,</w:t>
            </w: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Shares   Amount</w:t>
            </w:r>
          </w:p>
        </w:tc>
        <w:tc>
          <w:tcPr>
            <w:tcW w:w="40" w:type="dxa"/>
            <w:vAlign w:val="bottom"/>
          </w:tcPr>
          <w:p>
            <w:pPr>
              <w:spacing w:after="0"/>
              <w:rPr>
                <w:sz w:val="24"/>
                <w:szCs w:val="24"/>
                <w:color w:val="auto"/>
              </w:rPr>
            </w:pPr>
          </w:p>
        </w:tc>
        <w:tc>
          <w:tcPr>
            <w:tcW w:w="128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   Amount</w:t>
            </w:r>
          </w:p>
        </w:tc>
        <w:tc>
          <w:tcPr>
            <w:tcW w:w="0" w:type="dxa"/>
            <w:vAlign w:val="bottom"/>
          </w:tcPr>
          <w:p>
            <w:pPr>
              <w:spacing w:after="0"/>
              <w:rPr>
                <w:sz w:val="1"/>
                <w:szCs w:val="1"/>
                <w:color w:val="auto"/>
              </w:rPr>
            </w:pPr>
          </w:p>
        </w:tc>
      </w:tr>
      <w:tr>
        <w:trPr>
          <w:trHeight w:val="131"/>
        </w:trPr>
        <w:tc>
          <w:tcPr>
            <w:tcW w:w="1040" w:type="dxa"/>
            <w:vAlign w:val="bottom"/>
            <w:vMerge w:val="continue"/>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2012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15,038,259</w:t>
            </w:r>
          </w:p>
        </w:tc>
        <w:tc>
          <w:tcPr>
            <w:tcW w:w="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80,824</w:t>
            </w:r>
          </w:p>
        </w:tc>
        <w:tc>
          <w:tcPr>
            <w:tcW w:w="60" w:type="dxa"/>
            <w:vAlign w:val="bottom"/>
          </w:tcPr>
          <w:p>
            <w:pPr>
              <w:spacing w:after="0"/>
              <w:rPr>
                <w:sz w:val="12"/>
                <w:szCs w:val="12"/>
                <w:color w:val="auto"/>
              </w:rPr>
            </w:pP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w w:val="77"/>
              </w:rPr>
              <w:t>— $</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w w:val="85"/>
              </w:rPr>
              <w:t>— $</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Reverse 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split</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w w:val="88"/>
              </w:rPr>
              <w:t>Issuance of Series</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Four</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0"/>
              </w:rPr>
              <w:t>preferred 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exchange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Series One,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89"/>
              </w:rPr>
              <w:t>Two, and Three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4"/>
              </w:rPr>
              <w:t>preferred 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7"/>
              </w:rPr>
              <w:t>for Series Five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4"/>
              </w:rPr>
              <w:t>preferred stock</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(15,038,259)</w:t>
            </w: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4"/>
              </w:rPr>
              <w:t>(80,824)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5,374,954</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3"/>
              </w:rPr>
              <w:t>60,785</w:t>
            </w:r>
          </w:p>
        </w:tc>
        <w:tc>
          <w:tcPr>
            <w:tcW w:w="68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3"/>
              </w:rPr>
              <w:t>8,796,002</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0"/>
              </w:rPr>
              <w:t>101,682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7"/>
              </w:rPr>
              <w:t>common 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from IPO and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exercise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over allotment</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2"/>
              </w:rPr>
              <w:t>exercise, net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offering costs</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Conversion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2"/>
              </w:rPr>
              <w:t>Series four and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Series five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4"/>
              </w:rPr>
              <w:t>preferred stock</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2"/>
              </w:rPr>
              <w:t>(5,374,954)</w:t>
            </w:r>
          </w:p>
        </w:tc>
        <w:tc>
          <w:tcPr>
            <w:tcW w:w="12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89"/>
              </w:rPr>
              <w:t>(60,785) (8,796,002)</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3"/>
              </w:rPr>
              <w:t>(101,682)</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Share-based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compensation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expense</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Comprehensive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40" w:type="dxa"/>
            <w:vAlign w:val="bottom"/>
          </w:tcPr>
          <w:p>
            <w:pPr>
              <w:ind w:left="140"/>
              <w:spacing w:after="0" w:line="159" w:lineRule="exact"/>
              <w:rPr>
                <w:sz w:val="20"/>
                <w:szCs w:val="20"/>
                <w:color w:val="auto"/>
              </w:rPr>
            </w:pPr>
            <w:r>
              <w:rPr>
                <w:rFonts w:ascii="Arial" w:cs="Arial" w:eastAsia="Arial" w:hAnsi="Arial"/>
                <w:sz w:val="14"/>
                <w:szCs w:val="14"/>
                <w:color w:val="auto"/>
              </w:rPr>
              <w:t>income</w:t>
            </w:r>
          </w:p>
        </w:tc>
        <w:tc>
          <w:tcPr>
            <w:tcW w:w="74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1040" w:type="dxa"/>
            <w:vAlign w:val="bottom"/>
          </w:tcPr>
          <w:p>
            <w:pPr>
              <w:spacing w:after="0" w:line="131" w:lineRule="exact"/>
              <w:rPr>
                <w:sz w:val="20"/>
                <w:szCs w:val="20"/>
                <w:color w:val="auto"/>
              </w:rPr>
            </w:pPr>
            <w:r>
              <w:rPr>
                <w:rFonts w:ascii="Arial" w:cs="Arial" w:eastAsia="Arial" w:hAnsi="Arial"/>
                <w:sz w:val="14"/>
                <w:szCs w:val="14"/>
                <w:color w:val="auto"/>
              </w:rPr>
              <w:t>Balance,</w:t>
            </w: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40" w:type="dxa"/>
            <w:vAlign w:val="bottom"/>
          </w:tcPr>
          <w:p>
            <w:pPr>
              <w:ind w:left="140"/>
              <w:spacing w:after="0" w:line="159" w:lineRule="exact"/>
              <w:rPr>
                <w:sz w:val="20"/>
                <w:szCs w:val="20"/>
                <w:color w:val="auto"/>
              </w:rPr>
            </w:pPr>
            <w:r>
              <w:rPr>
                <w:rFonts w:ascii="Arial" w:cs="Arial" w:eastAsia="Arial" w:hAnsi="Arial"/>
                <w:sz w:val="14"/>
                <w:szCs w:val="14"/>
                <w:color w:val="auto"/>
              </w:rPr>
              <w:t>2013</w:t>
            </w:r>
          </w:p>
        </w:tc>
        <w:tc>
          <w:tcPr>
            <w:tcW w:w="820" w:type="dxa"/>
            <w:vAlign w:val="bottom"/>
            <w:gridSpan w:val="3"/>
          </w:tcPr>
          <w:p>
            <w:pPr>
              <w:ind w:left="560"/>
              <w:spacing w:after="0" w:line="159" w:lineRule="exact"/>
              <w:rPr>
                <w:sz w:val="20"/>
                <w:szCs w:val="20"/>
                <w:color w:val="auto"/>
              </w:rPr>
            </w:pPr>
            <w:r>
              <w:rPr>
                <w:rFonts w:ascii="Arial" w:cs="Arial" w:eastAsia="Arial" w:hAnsi="Arial"/>
                <w:sz w:val="14"/>
                <w:szCs w:val="14"/>
                <w:color w:val="auto"/>
                <w:w w:val="85"/>
              </w:rPr>
              <w:t>— $</w:t>
            </w: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59" w:lineRule="exact"/>
              <w:rPr>
                <w:sz w:val="20"/>
                <w:szCs w:val="20"/>
                <w:color w:val="auto"/>
              </w:rPr>
            </w:pPr>
            <w:r>
              <w:rPr>
                <w:rFonts w:ascii="Arial" w:cs="Arial" w:eastAsia="Arial" w:hAnsi="Arial"/>
                <w:sz w:val="14"/>
                <w:szCs w:val="14"/>
                <w:color w:val="auto"/>
                <w:w w:val="77"/>
              </w:rPr>
              <w:t>— $</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ind w:left="500"/>
              <w:spacing w:after="0" w:line="159" w:lineRule="exact"/>
              <w:rPr>
                <w:sz w:val="20"/>
                <w:szCs w:val="20"/>
                <w:color w:val="auto"/>
              </w:rPr>
            </w:pPr>
            <w:r>
              <w:rPr>
                <w:rFonts w:ascii="Arial" w:cs="Arial" w:eastAsia="Arial" w:hAnsi="Arial"/>
                <w:sz w:val="14"/>
                <w:szCs w:val="14"/>
                <w:color w:val="auto"/>
                <w:w w:val="85"/>
              </w:rPr>
              <w:t>— $</w:t>
            </w: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1040" w:type="dxa"/>
            <w:vAlign w:val="bottom"/>
          </w:tcPr>
          <w:p>
            <w:pPr>
              <w:spacing w:after="0" w:line="131" w:lineRule="exact"/>
              <w:rPr>
                <w:sz w:val="20"/>
                <w:szCs w:val="20"/>
                <w:color w:val="auto"/>
              </w:rPr>
            </w:pPr>
            <w:r>
              <w:rPr>
                <w:rFonts w:ascii="Arial" w:cs="Arial" w:eastAsia="Arial" w:hAnsi="Arial"/>
                <w:sz w:val="14"/>
                <w:szCs w:val="14"/>
                <w:color w:val="auto"/>
              </w:rPr>
              <w:t>Issuance of</w:t>
            </w: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7"/>
              </w:rPr>
              <w:t>common 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from public</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offerings and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exercise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over allotment</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2"/>
              </w:rPr>
              <w:t>exercise, net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offering costs</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Exercise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options</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Restricted 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vesting</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Share-based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compensation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expense</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Comprehensive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40" w:type="dxa"/>
            <w:vAlign w:val="bottom"/>
          </w:tcPr>
          <w:p>
            <w:pPr>
              <w:ind w:left="140"/>
              <w:spacing w:after="0" w:line="159" w:lineRule="exact"/>
              <w:rPr>
                <w:sz w:val="20"/>
                <w:szCs w:val="20"/>
                <w:color w:val="auto"/>
              </w:rPr>
            </w:pPr>
            <w:r>
              <w:rPr>
                <w:rFonts w:ascii="Arial" w:cs="Arial" w:eastAsia="Arial" w:hAnsi="Arial"/>
                <w:sz w:val="14"/>
                <w:szCs w:val="14"/>
                <w:color w:val="auto"/>
              </w:rPr>
              <w:t>loss</w:t>
            </w:r>
          </w:p>
        </w:tc>
        <w:tc>
          <w:tcPr>
            <w:tcW w:w="74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1040" w:type="dxa"/>
            <w:vAlign w:val="bottom"/>
          </w:tcPr>
          <w:p>
            <w:pPr>
              <w:spacing w:after="0" w:line="131" w:lineRule="exact"/>
              <w:rPr>
                <w:sz w:val="20"/>
                <w:szCs w:val="20"/>
                <w:color w:val="auto"/>
              </w:rPr>
            </w:pPr>
            <w:r>
              <w:rPr>
                <w:rFonts w:ascii="Arial" w:cs="Arial" w:eastAsia="Arial" w:hAnsi="Arial"/>
                <w:sz w:val="14"/>
                <w:szCs w:val="14"/>
                <w:color w:val="auto"/>
              </w:rPr>
              <w:t>Balance,</w:t>
            </w: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40" w:type="dxa"/>
            <w:vAlign w:val="bottom"/>
          </w:tcPr>
          <w:p>
            <w:pPr>
              <w:ind w:left="140"/>
              <w:spacing w:after="0" w:line="159" w:lineRule="exact"/>
              <w:rPr>
                <w:sz w:val="20"/>
                <w:szCs w:val="20"/>
                <w:color w:val="auto"/>
              </w:rPr>
            </w:pPr>
            <w:r>
              <w:rPr>
                <w:rFonts w:ascii="Arial" w:cs="Arial" w:eastAsia="Arial" w:hAnsi="Arial"/>
                <w:sz w:val="14"/>
                <w:szCs w:val="14"/>
                <w:color w:val="auto"/>
              </w:rPr>
              <w:t>2014</w:t>
            </w:r>
          </w:p>
        </w:tc>
        <w:tc>
          <w:tcPr>
            <w:tcW w:w="820" w:type="dxa"/>
            <w:vAlign w:val="bottom"/>
            <w:gridSpan w:val="3"/>
          </w:tcPr>
          <w:p>
            <w:pPr>
              <w:ind w:left="560"/>
              <w:spacing w:after="0" w:line="159" w:lineRule="exact"/>
              <w:rPr>
                <w:sz w:val="20"/>
                <w:szCs w:val="20"/>
                <w:color w:val="auto"/>
              </w:rPr>
            </w:pPr>
            <w:r>
              <w:rPr>
                <w:rFonts w:ascii="Arial" w:cs="Arial" w:eastAsia="Arial" w:hAnsi="Arial"/>
                <w:sz w:val="14"/>
                <w:szCs w:val="14"/>
                <w:color w:val="auto"/>
                <w:w w:val="85"/>
              </w:rPr>
              <w:t>— $</w:t>
            </w: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59" w:lineRule="exact"/>
              <w:rPr>
                <w:sz w:val="20"/>
                <w:szCs w:val="20"/>
                <w:color w:val="auto"/>
              </w:rPr>
            </w:pPr>
            <w:r>
              <w:rPr>
                <w:rFonts w:ascii="Arial" w:cs="Arial" w:eastAsia="Arial" w:hAnsi="Arial"/>
                <w:sz w:val="14"/>
                <w:szCs w:val="14"/>
                <w:color w:val="auto"/>
                <w:w w:val="77"/>
              </w:rPr>
              <w:t>— $</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ind w:left="500"/>
              <w:spacing w:after="0" w:line="159" w:lineRule="exact"/>
              <w:rPr>
                <w:sz w:val="20"/>
                <w:szCs w:val="20"/>
                <w:color w:val="auto"/>
              </w:rPr>
            </w:pPr>
            <w:r>
              <w:rPr>
                <w:rFonts w:ascii="Arial" w:cs="Arial" w:eastAsia="Arial" w:hAnsi="Arial"/>
                <w:sz w:val="14"/>
                <w:szCs w:val="14"/>
                <w:color w:val="auto"/>
                <w:w w:val="85"/>
              </w:rPr>
              <w:t>— $</w:t>
            </w: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1040" w:type="dxa"/>
            <w:vAlign w:val="bottom"/>
          </w:tcPr>
          <w:p>
            <w:pPr>
              <w:spacing w:after="0" w:line="131" w:lineRule="exact"/>
              <w:rPr>
                <w:sz w:val="20"/>
                <w:szCs w:val="20"/>
                <w:color w:val="auto"/>
              </w:rPr>
            </w:pPr>
            <w:r>
              <w:rPr>
                <w:rFonts w:ascii="Arial" w:cs="Arial" w:eastAsia="Arial" w:hAnsi="Arial"/>
                <w:sz w:val="14"/>
                <w:szCs w:val="14"/>
                <w:color w:val="auto"/>
              </w:rPr>
              <w:t>Equity</w:t>
            </w: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component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6"/>
              </w:rPr>
              <w:t>the convertible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w w:val="90"/>
              </w:rPr>
              <w:t>notes issuance,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net</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Debt issuance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costs</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Exercise of</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options</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Restricted 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vesting</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Share-based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compensation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expense</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Arial" w:cs="Arial" w:eastAsia="Arial" w:hAnsi="Arial"/>
                <w:sz w:val="14"/>
                <w:szCs w:val="14"/>
                <w:color w:val="auto"/>
              </w:rPr>
              <w:t>Comprehensive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40" w:type="dxa"/>
            <w:vAlign w:val="bottom"/>
          </w:tcPr>
          <w:p>
            <w:pPr>
              <w:ind w:left="140"/>
              <w:spacing w:after="0" w:line="159" w:lineRule="exact"/>
              <w:rPr>
                <w:sz w:val="20"/>
                <w:szCs w:val="20"/>
                <w:color w:val="auto"/>
              </w:rPr>
            </w:pPr>
            <w:r>
              <w:rPr>
                <w:rFonts w:ascii="Arial" w:cs="Arial" w:eastAsia="Arial" w:hAnsi="Arial"/>
                <w:sz w:val="14"/>
                <w:szCs w:val="14"/>
                <w:color w:val="auto"/>
              </w:rPr>
              <w:t>loss</w:t>
            </w:r>
          </w:p>
        </w:tc>
        <w:tc>
          <w:tcPr>
            <w:tcW w:w="74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1040" w:type="dxa"/>
            <w:vAlign w:val="bottom"/>
          </w:tcPr>
          <w:p>
            <w:pPr>
              <w:spacing w:after="0" w:line="131" w:lineRule="exact"/>
              <w:rPr>
                <w:sz w:val="20"/>
                <w:szCs w:val="20"/>
                <w:color w:val="auto"/>
              </w:rPr>
            </w:pPr>
            <w:r>
              <w:rPr>
                <w:rFonts w:ascii="Arial" w:cs="Arial" w:eastAsia="Arial" w:hAnsi="Arial"/>
                <w:sz w:val="14"/>
                <w:szCs w:val="14"/>
                <w:color w:val="auto"/>
              </w:rPr>
              <w:t>Balance,</w:t>
            </w: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40"/>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40" w:type="dxa"/>
            <w:vAlign w:val="bottom"/>
          </w:tcPr>
          <w:p>
            <w:pPr>
              <w:ind w:left="140"/>
              <w:spacing w:after="0" w:line="159" w:lineRule="exact"/>
              <w:rPr>
                <w:sz w:val="20"/>
                <w:szCs w:val="20"/>
                <w:color w:val="auto"/>
              </w:rPr>
            </w:pPr>
            <w:r>
              <w:rPr>
                <w:rFonts w:ascii="Arial" w:cs="Arial" w:eastAsia="Arial" w:hAnsi="Arial"/>
                <w:sz w:val="14"/>
                <w:szCs w:val="14"/>
                <w:color w:val="auto"/>
              </w:rPr>
              <w:t>2015</w:t>
            </w:r>
          </w:p>
        </w:tc>
        <w:tc>
          <w:tcPr>
            <w:tcW w:w="820" w:type="dxa"/>
            <w:vAlign w:val="bottom"/>
            <w:gridSpan w:val="3"/>
          </w:tcPr>
          <w:p>
            <w:pPr>
              <w:ind w:left="560"/>
              <w:spacing w:after="0" w:line="159" w:lineRule="exact"/>
              <w:rPr>
                <w:sz w:val="20"/>
                <w:szCs w:val="20"/>
                <w:color w:val="auto"/>
              </w:rPr>
            </w:pPr>
            <w:r>
              <w:rPr>
                <w:rFonts w:ascii="Arial" w:cs="Arial" w:eastAsia="Arial" w:hAnsi="Arial"/>
                <w:sz w:val="14"/>
                <w:szCs w:val="14"/>
                <w:color w:val="auto"/>
                <w:w w:val="85"/>
              </w:rPr>
              <w:t>— $</w:t>
            </w: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00"/>
              <w:spacing w:after="0" w:line="159" w:lineRule="exact"/>
              <w:rPr>
                <w:sz w:val="20"/>
                <w:szCs w:val="20"/>
                <w:color w:val="auto"/>
              </w:rPr>
            </w:pPr>
            <w:r>
              <w:rPr>
                <w:rFonts w:ascii="Arial" w:cs="Arial" w:eastAsia="Arial" w:hAnsi="Arial"/>
                <w:sz w:val="14"/>
                <w:szCs w:val="14"/>
                <w:color w:val="auto"/>
                <w:w w:val="77"/>
              </w:rPr>
              <w:t>— $</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2"/>
          </w:tcPr>
          <w:p>
            <w:pPr>
              <w:ind w:left="500"/>
              <w:spacing w:after="0" w:line="159" w:lineRule="exact"/>
              <w:rPr>
                <w:sz w:val="20"/>
                <w:szCs w:val="20"/>
                <w:color w:val="auto"/>
              </w:rPr>
            </w:pPr>
            <w:r>
              <w:rPr>
                <w:rFonts w:ascii="Arial" w:cs="Arial" w:eastAsia="Arial" w:hAnsi="Arial"/>
                <w:sz w:val="14"/>
                <w:szCs w:val="14"/>
                <w:color w:val="auto"/>
                <w:w w:val="85"/>
              </w:rPr>
              <w:t>— $</w:t>
            </w: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88"/>
              </w:rPr>
              <w:t>Accumulated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7"/>
        </w:trPr>
        <w:tc>
          <w:tcPr>
            <w:tcW w:w="1080" w:type="dxa"/>
            <w:vAlign w:val="bottom"/>
            <w:tcBorders>
              <w:bottom w:val="single" w:sz="8" w:color="auto"/>
            </w:tcBorders>
            <w:gridSpan w:val="4"/>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9"/>
                <w:szCs w:val="9"/>
                <w:color w:val="auto"/>
              </w:rPr>
            </w:pPr>
          </w:p>
        </w:tc>
        <w:tc>
          <w:tcPr>
            <w:tcW w:w="1060" w:type="dxa"/>
            <w:vAlign w:val="bottom"/>
            <w:gridSpan w:val="4"/>
            <w:vMerge w:val="restart"/>
          </w:tcPr>
          <w:p>
            <w:pPr>
              <w:jc w:val="center"/>
              <w:ind w:right="132"/>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4"/>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paid-in</w:t>
            </w:r>
          </w:p>
        </w:tc>
        <w:tc>
          <w:tcPr>
            <w:tcW w:w="60" w:type="dxa"/>
            <w:vAlign w:val="bottom"/>
          </w:tcPr>
          <w:p>
            <w:pPr>
              <w:spacing w:after="0"/>
              <w:rPr>
                <w:sz w:val="12"/>
                <w:szCs w:val="12"/>
                <w:color w:val="auto"/>
              </w:rPr>
            </w:pPr>
          </w:p>
        </w:tc>
        <w:tc>
          <w:tcPr>
            <w:tcW w:w="68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5"/>
              </w:rPr>
              <w:t>income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61"/>
        </w:trPr>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capital</w:t>
            </w:r>
          </w:p>
        </w:tc>
        <w:tc>
          <w:tcPr>
            <w:tcW w:w="60" w:type="dxa"/>
            <w:vAlign w:val="bottom"/>
          </w:tcPr>
          <w:p>
            <w:pPr>
              <w:spacing w:after="0"/>
              <w:rPr>
                <w:sz w:val="14"/>
                <w:szCs w:val="14"/>
                <w:color w:val="auto"/>
              </w:rPr>
            </w:pPr>
          </w:p>
        </w:tc>
        <w:tc>
          <w:tcPr>
            <w:tcW w:w="68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b w:val="1"/>
                <w:bCs w:val="1"/>
                <w:color w:val="auto"/>
                <w:w w:val="80"/>
              </w:rPr>
              <w:t>(loss)</w:t>
            </w:r>
          </w:p>
        </w:tc>
        <w:tc>
          <w:tcPr>
            <w:tcW w:w="2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0"/>
              </w:rPr>
              <w:t>(deficit)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40" w:type="dxa"/>
            <w:vAlign w:val="bottom"/>
          </w:tcPr>
          <w:p>
            <w:pPr>
              <w:jc w:val="right"/>
              <w:spacing w:after="0"/>
              <w:rPr>
                <w:sz w:val="20"/>
                <w:szCs w:val="20"/>
                <w:color w:val="auto"/>
              </w:rPr>
            </w:pPr>
            <w:r>
              <w:rPr>
                <w:rFonts w:ascii="Arial" w:cs="Arial" w:eastAsia="Arial" w:hAnsi="Arial"/>
                <w:sz w:val="14"/>
                <w:szCs w:val="14"/>
                <w:color w:val="auto"/>
              </w:rPr>
              <w:t>545,345</w:t>
            </w:r>
          </w:p>
        </w:tc>
        <w:tc>
          <w:tcPr>
            <w:tcW w:w="40" w:type="dxa"/>
            <w:vAlign w:val="bottom"/>
          </w:tcPr>
          <w:p>
            <w:pPr>
              <w:spacing w:after="0"/>
              <w:rPr>
                <w:sz w:val="24"/>
                <w:szCs w:val="24"/>
                <w:color w:val="auto"/>
              </w:rPr>
            </w:pPr>
          </w:p>
        </w:tc>
        <w:tc>
          <w:tcPr>
            <w:tcW w:w="400" w:type="dxa"/>
            <w:vAlign w:val="bottom"/>
            <w:gridSpan w:val="2"/>
          </w:tcPr>
          <w:p>
            <w:pPr>
              <w:jc w:val="right"/>
              <w:ind w:right="252"/>
              <w:spacing w:after="0"/>
              <w:rPr>
                <w:sz w:val="20"/>
                <w:szCs w:val="20"/>
                <w:color w:val="auto"/>
              </w:rPr>
            </w:pPr>
            <w:r>
              <w:rPr>
                <w:rFonts w:ascii="Arial" w:cs="Arial" w:eastAsia="Arial" w:hAnsi="Arial"/>
                <w:sz w:val="14"/>
                <w:szCs w:val="14"/>
                <w:color w:val="auto"/>
                <w:w w:val="76"/>
              </w:rPr>
              <w:t>$</w:t>
            </w:r>
          </w:p>
        </w:tc>
        <w:tc>
          <w:tcPr>
            <w:tcW w:w="300" w:type="dxa"/>
            <w:vAlign w:val="bottom"/>
            <w:gridSpan w:val="3"/>
          </w:tcPr>
          <w:p>
            <w:pPr>
              <w:ind w:left="20"/>
              <w:spacing w:after="0"/>
              <w:rPr>
                <w:sz w:val="20"/>
                <w:szCs w:val="20"/>
                <w:color w:val="auto"/>
              </w:rPr>
            </w:pPr>
            <w:r>
              <w:rPr>
                <w:rFonts w:ascii="Arial" w:cs="Arial" w:eastAsia="Arial" w:hAnsi="Arial"/>
                <w:sz w:val="14"/>
                <w:szCs w:val="14"/>
                <w:color w:val="auto"/>
              </w:rPr>
              <w:t>— $</w:t>
            </w:r>
          </w:p>
        </w:tc>
        <w:tc>
          <w:tcPr>
            <w:tcW w:w="560" w:type="dxa"/>
            <w:vAlign w:val="bottom"/>
          </w:tcPr>
          <w:p>
            <w:pPr>
              <w:jc w:val="right"/>
              <w:spacing w:after="0"/>
              <w:rPr>
                <w:sz w:val="20"/>
                <w:szCs w:val="20"/>
                <w:color w:val="auto"/>
              </w:rPr>
            </w:pPr>
            <w:r>
              <w:rPr>
                <w:rFonts w:ascii="Arial" w:cs="Arial" w:eastAsia="Arial" w:hAnsi="Arial"/>
                <w:sz w:val="14"/>
                <w:szCs w:val="14"/>
                <w:color w:val="auto"/>
              </w:rPr>
              <w:t>177,584</w:t>
            </w:r>
          </w:p>
        </w:tc>
        <w:tc>
          <w:tcPr>
            <w:tcW w:w="740" w:type="dxa"/>
            <w:vAlign w:val="bottom"/>
            <w:gridSpan w:val="2"/>
          </w:tcPr>
          <w:p>
            <w:pPr>
              <w:jc w:val="right"/>
              <w:ind w:right="552"/>
              <w:spacing w:after="0"/>
              <w:rPr>
                <w:sz w:val="20"/>
                <w:szCs w:val="20"/>
                <w:color w:val="auto"/>
              </w:rPr>
            </w:pPr>
            <w:r>
              <w:rPr>
                <w:rFonts w:ascii="Arial" w:cs="Arial" w:eastAsia="Arial" w:hAnsi="Arial"/>
                <w:sz w:val="14"/>
                <w:szCs w:val="14"/>
                <w:color w:val="auto"/>
              </w:rPr>
              <w:t>$</w:t>
            </w:r>
          </w:p>
        </w:tc>
        <w:tc>
          <w:tcPr>
            <w:tcW w:w="380" w:type="dxa"/>
            <w:vAlign w:val="bottom"/>
            <w:gridSpan w:val="3"/>
          </w:tcPr>
          <w:p>
            <w:pPr>
              <w:ind w:left="60"/>
              <w:spacing w:after="0"/>
              <w:rPr>
                <w:sz w:val="20"/>
                <w:szCs w:val="20"/>
                <w:color w:val="auto"/>
              </w:rPr>
            </w:pPr>
            <w:r>
              <w:rPr>
                <w:rFonts w:ascii="Arial" w:cs="Arial" w:eastAsia="Arial" w:hAnsi="Arial"/>
                <w:sz w:val="14"/>
                <w:szCs w:val="14"/>
                <w:color w:val="auto"/>
              </w:rPr>
              <w:t>— $</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(277,224)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(99,640)</w:t>
            </w:r>
          </w:p>
        </w:tc>
        <w:tc>
          <w:tcPr>
            <w:tcW w:w="0" w:type="dxa"/>
            <w:vAlign w:val="bottom"/>
          </w:tcPr>
          <w:p>
            <w:pPr>
              <w:spacing w:after="0"/>
              <w:rPr>
                <w:sz w:val="1"/>
                <w:szCs w:val="1"/>
                <w:color w:val="auto"/>
              </w:rPr>
            </w:pPr>
          </w:p>
        </w:tc>
      </w:tr>
      <w:tr>
        <w:trPr>
          <w:trHeight w:val="297"/>
        </w:trPr>
        <w:tc>
          <w:tcPr>
            <w:tcW w:w="680" w:type="dxa"/>
            <w:vAlign w:val="bottom"/>
            <w:gridSpan w:val="2"/>
          </w:tcPr>
          <w:p>
            <w:pPr>
              <w:jc w:val="right"/>
              <w:spacing w:after="0"/>
              <w:rPr>
                <w:sz w:val="20"/>
                <w:szCs w:val="20"/>
                <w:color w:val="auto"/>
              </w:rPr>
            </w:pPr>
            <w:r>
              <w:rPr>
                <w:rFonts w:ascii="Arial" w:cs="Arial" w:eastAsia="Arial" w:hAnsi="Arial"/>
                <w:sz w:val="14"/>
                <w:szCs w:val="14"/>
                <w:color w:val="auto"/>
              </w:rPr>
              <w:t>(540,819)</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(14,858)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(14,858)</w:t>
            </w:r>
          </w:p>
        </w:tc>
      </w:tr>
      <w:tr>
        <w:trPr>
          <w:trHeight w:val="1040"/>
        </w:trPr>
        <w:tc>
          <w:tcPr>
            <w:tcW w:w="640" w:type="dxa"/>
            <w:vAlign w:val="bottom"/>
          </w:tcPr>
          <w:p>
            <w:pPr>
              <w:jc w:val="right"/>
              <w:spacing w:after="0"/>
              <w:rPr>
                <w:sz w:val="20"/>
                <w:szCs w:val="20"/>
                <w:color w:val="auto"/>
              </w:rPr>
            </w:pPr>
            <w:r>
              <w:rPr>
                <w:rFonts w:ascii="Arial" w:cs="Arial" w:eastAsia="Arial" w:hAnsi="Arial"/>
                <w:sz w:val="14"/>
                <w:szCs w:val="14"/>
                <w:color w:val="auto"/>
                <w:w w:val="99"/>
              </w:rPr>
              <w:t>9,627,800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131,640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131,650</w:t>
            </w:r>
          </w:p>
        </w:tc>
        <w:tc>
          <w:tcPr>
            <w:tcW w:w="40" w:type="dxa"/>
            <w:vAlign w:val="bottom"/>
          </w:tcPr>
          <w:p>
            <w:pPr>
              <w:spacing w:after="0"/>
              <w:rPr>
                <w:sz w:val="24"/>
                <w:szCs w:val="24"/>
                <w:color w:val="auto"/>
              </w:rPr>
            </w:pPr>
          </w:p>
        </w:tc>
      </w:tr>
      <w:tr>
        <w:trPr>
          <w:trHeight w:val="743"/>
        </w:trPr>
        <w:tc>
          <w:tcPr>
            <w:tcW w:w="640" w:type="dxa"/>
            <w:vAlign w:val="bottom"/>
          </w:tcPr>
          <w:p>
            <w:pPr>
              <w:jc w:val="right"/>
              <w:spacing w:after="0"/>
              <w:rPr>
                <w:sz w:val="20"/>
                <w:szCs w:val="20"/>
                <w:color w:val="auto"/>
              </w:rPr>
            </w:pPr>
            <w:r>
              <w:rPr>
                <w:rFonts w:ascii="Arial" w:cs="Arial" w:eastAsia="Arial" w:hAnsi="Arial"/>
                <w:sz w:val="14"/>
                <w:szCs w:val="14"/>
                <w:color w:val="auto"/>
                <w:w w:val="88"/>
              </w:rPr>
              <w:t>14,170,956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162,453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162,467</w:t>
            </w:r>
          </w:p>
        </w:tc>
        <w:tc>
          <w:tcPr>
            <w:tcW w:w="40" w:type="dxa"/>
            <w:vAlign w:val="bottom"/>
          </w:tcPr>
          <w:p>
            <w:pPr>
              <w:spacing w:after="0"/>
              <w:rPr>
                <w:sz w:val="24"/>
                <w:szCs w:val="24"/>
                <w:color w:val="auto"/>
              </w:rPr>
            </w:pPr>
          </w:p>
        </w:tc>
      </w:tr>
      <w:tr>
        <w:trPr>
          <w:trHeight w:val="422"/>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8,427</w:t>
            </w:r>
          </w:p>
        </w:tc>
        <w:tc>
          <w:tcPr>
            <w:tcW w:w="40" w:type="dxa"/>
            <w:vAlign w:val="bottom"/>
          </w:tcPr>
          <w:p>
            <w:pPr>
              <w:spacing w:after="0"/>
              <w:rPr>
                <w:sz w:val="24"/>
                <w:szCs w:val="24"/>
                <w:color w:val="auto"/>
              </w:rPr>
            </w:pPr>
          </w:p>
        </w:tc>
      </w:tr>
      <w:tr>
        <w:trPr>
          <w:trHeight w:val="172"/>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(51,574)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(51,574)</w:t>
            </w:r>
          </w:p>
        </w:tc>
      </w:tr>
      <w:tr>
        <w:trPr>
          <w:trHeight w:val="284"/>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24"/>
                <w:szCs w:val="24"/>
                <w:color w:val="auto"/>
              </w:rPr>
            </w:pPr>
          </w:p>
        </w:tc>
      </w:tr>
      <w:tr>
        <w:trPr>
          <w:trHeight w:val="439"/>
        </w:trPr>
        <w:tc>
          <w:tcPr>
            <w:tcW w:w="640" w:type="dxa"/>
            <w:vAlign w:val="bottom"/>
          </w:tcPr>
          <w:p>
            <w:pPr>
              <w:jc w:val="right"/>
              <w:spacing w:after="0"/>
              <w:rPr>
                <w:sz w:val="20"/>
                <w:szCs w:val="20"/>
                <w:color w:val="auto"/>
              </w:rPr>
            </w:pPr>
            <w:r>
              <w:rPr>
                <w:rFonts w:ascii="Arial" w:cs="Arial" w:eastAsia="Arial" w:hAnsi="Arial"/>
                <w:sz w:val="14"/>
                <w:szCs w:val="14"/>
                <w:color w:val="auto"/>
                <w:w w:val="88"/>
              </w:rPr>
              <w:t>23,803,282</w:t>
            </w: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24</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465,246</w:t>
            </w:r>
          </w:p>
        </w:tc>
        <w:tc>
          <w:tcPr>
            <w:tcW w:w="40" w:type="dxa"/>
            <w:vAlign w:val="bottom"/>
          </w:tcPr>
          <w:p>
            <w:pPr>
              <w:spacing w:after="0"/>
              <w:rPr>
                <w:sz w:val="24"/>
                <w:szCs w:val="24"/>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24"/>
                <w:szCs w:val="24"/>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(328,798)</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136,542</w:t>
            </w:r>
          </w:p>
        </w:tc>
        <w:tc>
          <w:tcPr>
            <w:tcW w:w="40" w:type="dxa"/>
            <w:vAlign w:val="bottom"/>
          </w:tcPr>
          <w:p>
            <w:pPr>
              <w:spacing w:after="0"/>
              <w:rPr>
                <w:sz w:val="24"/>
                <w:szCs w:val="24"/>
                <w:color w:val="auto"/>
              </w:rPr>
            </w:pPr>
          </w:p>
        </w:tc>
      </w:tr>
      <w:tr>
        <w:trPr>
          <w:trHeight w:val="1195"/>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8,613,265</w:t>
            </w: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235,971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235,980</w:t>
            </w:r>
          </w:p>
        </w:tc>
        <w:tc>
          <w:tcPr>
            <w:tcW w:w="40" w:type="dxa"/>
            <w:vAlign w:val="bottom"/>
          </w:tcPr>
          <w:p>
            <w:pPr>
              <w:spacing w:after="0"/>
              <w:rPr>
                <w:sz w:val="24"/>
                <w:szCs w:val="24"/>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108,645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1,195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1,195</w:t>
            </w:r>
          </w:p>
        </w:tc>
        <w:tc>
          <w:tcPr>
            <w:tcW w:w="40" w:type="dxa"/>
            <w:vAlign w:val="bottom"/>
          </w:tcPr>
          <w:p>
            <w:pPr>
              <w:spacing w:after="0"/>
              <w:rPr>
                <w:sz w:val="24"/>
                <w:szCs w:val="24"/>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373,200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422"/>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19,310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19,310</w:t>
            </w:r>
          </w:p>
        </w:tc>
        <w:tc>
          <w:tcPr>
            <w:tcW w:w="40" w:type="dxa"/>
            <w:vAlign w:val="bottom"/>
          </w:tcPr>
          <w:p>
            <w:pPr>
              <w:spacing w:after="0"/>
              <w:rPr>
                <w:sz w:val="24"/>
                <w:szCs w:val="24"/>
                <w:color w:val="auto"/>
              </w:rPr>
            </w:pPr>
          </w:p>
        </w:tc>
      </w:tr>
      <w:tr>
        <w:trPr>
          <w:trHeight w:val="172"/>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(93,753)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(93,753)</w:t>
            </w:r>
          </w:p>
        </w:tc>
      </w:tr>
      <w:tr>
        <w:trPr>
          <w:trHeight w:val="284"/>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(807)</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(807)</w:t>
            </w:r>
          </w:p>
        </w:tc>
      </w:tr>
      <w:tr>
        <w:trPr>
          <w:trHeight w:val="20"/>
        </w:trPr>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40" w:type="dxa"/>
            <w:vAlign w:val="bottom"/>
          </w:tcPr>
          <w:p>
            <w:pPr>
              <w:jc w:val="right"/>
              <w:spacing w:after="0"/>
              <w:rPr>
                <w:sz w:val="20"/>
                <w:szCs w:val="20"/>
                <w:color w:val="auto"/>
              </w:rPr>
            </w:pPr>
            <w:r>
              <w:rPr>
                <w:rFonts w:ascii="Arial" w:cs="Arial" w:eastAsia="Arial" w:hAnsi="Arial"/>
                <w:sz w:val="14"/>
                <w:szCs w:val="14"/>
                <w:color w:val="auto"/>
                <w:w w:val="88"/>
              </w:rPr>
              <w:t>32,898,392</w:t>
            </w: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33</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721,722</w:t>
            </w:r>
          </w:p>
        </w:tc>
        <w:tc>
          <w:tcPr>
            <w:tcW w:w="40" w:type="dxa"/>
            <w:vAlign w:val="bottom"/>
          </w:tcPr>
          <w:p>
            <w:pPr>
              <w:spacing w:after="0"/>
              <w:rPr>
                <w:sz w:val="24"/>
                <w:szCs w:val="24"/>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(737)</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(422,551)</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298,467</w:t>
            </w:r>
          </w:p>
        </w:tc>
        <w:tc>
          <w:tcPr>
            <w:tcW w:w="40" w:type="dxa"/>
            <w:vAlign w:val="bottom"/>
          </w:tcPr>
          <w:p>
            <w:pPr>
              <w:spacing w:after="0"/>
              <w:rPr>
                <w:sz w:val="24"/>
                <w:szCs w:val="24"/>
                <w:color w:val="auto"/>
              </w:rPr>
            </w:pPr>
          </w:p>
        </w:tc>
      </w:tr>
      <w:tr>
        <w:trPr>
          <w:trHeight w:val="749"/>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57,538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57,538</w:t>
            </w:r>
          </w:p>
        </w:tc>
        <w:tc>
          <w:tcPr>
            <w:tcW w:w="40" w:type="dxa"/>
            <w:vAlign w:val="bottom"/>
          </w:tcPr>
          <w:p>
            <w:pPr>
              <w:spacing w:after="0"/>
              <w:rPr>
                <w:sz w:val="24"/>
                <w:szCs w:val="24"/>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(1,784)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(1,784)</w:t>
            </w: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656,248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8,711</w:t>
            </w:r>
          </w:p>
        </w:tc>
        <w:tc>
          <w:tcPr>
            <w:tcW w:w="40" w:type="dxa"/>
            <w:vAlign w:val="bottom"/>
          </w:tcPr>
          <w:p>
            <w:pPr>
              <w:spacing w:after="0"/>
              <w:rPr>
                <w:sz w:val="24"/>
                <w:szCs w:val="24"/>
                <w:color w:val="auto"/>
              </w:rPr>
            </w:pPr>
          </w:p>
        </w:tc>
      </w:tr>
      <w:tr>
        <w:trPr>
          <w:trHeight w:val="297"/>
        </w:trPr>
        <w:tc>
          <w:tcPr>
            <w:tcW w:w="640" w:type="dxa"/>
            <w:vAlign w:val="bottom"/>
          </w:tcPr>
          <w:p>
            <w:pPr>
              <w:jc w:val="right"/>
              <w:spacing w:after="0"/>
              <w:rPr>
                <w:sz w:val="20"/>
                <w:szCs w:val="20"/>
                <w:color w:val="auto"/>
              </w:rPr>
            </w:pPr>
            <w:r>
              <w:rPr>
                <w:rFonts w:ascii="Arial" w:cs="Arial" w:eastAsia="Arial" w:hAnsi="Arial"/>
                <w:sz w:val="14"/>
                <w:szCs w:val="14"/>
                <w:color w:val="auto"/>
              </w:rPr>
              <w:t>361,919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422"/>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33,979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33,979</w:t>
            </w:r>
          </w:p>
        </w:tc>
        <w:tc>
          <w:tcPr>
            <w:tcW w:w="40" w:type="dxa"/>
            <w:vAlign w:val="bottom"/>
          </w:tcPr>
          <w:p>
            <w:pPr>
              <w:spacing w:after="0"/>
              <w:rPr>
                <w:sz w:val="24"/>
                <w:szCs w:val="24"/>
                <w:color w:val="auto"/>
              </w:rPr>
            </w:pPr>
          </w:p>
        </w:tc>
      </w:tr>
      <w:tr>
        <w:trPr>
          <w:trHeight w:val="172"/>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(170,447)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(170,447)</w:t>
            </w:r>
          </w:p>
        </w:tc>
      </w:tr>
      <w:tr>
        <w:trPr>
          <w:trHeight w:val="284"/>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(463)</w:t>
            </w:r>
          </w:p>
        </w:tc>
        <w:tc>
          <w:tcPr>
            <w:tcW w:w="2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(463)</w:t>
            </w:r>
          </w:p>
        </w:tc>
      </w:tr>
      <w:tr>
        <w:trPr>
          <w:trHeight w:val="20"/>
        </w:trPr>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40" w:type="dxa"/>
            <w:vAlign w:val="bottom"/>
          </w:tcPr>
          <w:p>
            <w:pPr>
              <w:jc w:val="right"/>
              <w:spacing w:after="0"/>
              <w:rPr>
                <w:sz w:val="20"/>
                <w:szCs w:val="20"/>
                <w:color w:val="auto"/>
              </w:rPr>
            </w:pPr>
            <w:r>
              <w:rPr>
                <w:rFonts w:ascii="Arial" w:cs="Arial" w:eastAsia="Arial" w:hAnsi="Arial"/>
                <w:sz w:val="14"/>
                <w:szCs w:val="14"/>
                <w:color w:val="auto"/>
                <w:w w:val="88"/>
              </w:rPr>
              <w:t>33,916,559</w:t>
            </w: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34</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820,165</w:t>
            </w:r>
          </w:p>
        </w:tc>
        <w:tc>
          <w:tcPr>
            <w:tcW w:w="40" w:type="dxa"/>
            <w:vAlign w:val="bottom"/>
          </w:tcPr>
          <w:p>
            <w:pPr>
              <w:spacing w:after="0"/>
              <w:rPr>
                <w:sz w:val="24"/>
                <w:szCs w:val="24"/>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(1,200)</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(592,998)</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226,001</w:t>
            </w:r>
          </w:p>
        </w:tc>
        <w:tc>
          <w:tcPr>
            <w:tcW w:w="4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80" w:space="120"/>
            <w:col w:w="4620"/>
          </w:cols>
          <w:pgMar w:left="240" w:top="131" w:right="939" w:bottom="1006" w:gutter="0" w:footer="0" w:header="0"/>
          <w:type w:val="continuous"/>
        </w:sectPr>
      </w:pPr>
    </w:p>
    <w:p>
      <w:pPr>
        <w:spacing w:after="0" w:line="8" w:lineRule="exact"/>
        <w:rPr>
          <w:sz w:val="20"/>
          <w:szCs w:val="20"/>
          <w:color w:val="auto"/>
        </w:rPr>
      </w:pPr>
    </w:p>
    <w:p>
      <w:pPr>
        <w:ind w:left="4360"/>
        <w:spacing w:after="0"/>
        <w:rPr>
          <w:sz w:val="20"/>
          <w:szCs w:val="20"/>
          <w:color w:val="auto"/>
        </w:rPr>
      </w:pPr>
      <w:r>
        <w:rPr>
          <w:rFonts w:ascii="Arial" w:cs="Arial" w:eastAsia="Arial" w:hAnsi="Arial"/>
          <w:sz w:val="15"/>
          <w:szCs w:val="15"/>
          <w:color w:val="auto"/>
        </w:rPr>
        <w:t>See accompanying consolidated notes.</w:t>
      </w:r>
    </w:p>
    <w:p>
      <w:pPr>
        <w:sectPr>
          <w:pgSz w:w="11900" w:h="16838" w:orient="portrait"/>
          <w:cols w:equalWidth="0" w:num="1">
            <w:col w:w="10720"/>
          </w:cols>
          <w:pgMar w:left="240" w:top="131" w:right="939" w:bottom="1006" w:gutter="0" w:footer="0" w:header="0"/>
          <w:type w:val="continuous"/>
        </w:sectPr>
      </w:pP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131" w:right="939" w:bottom="1006" w:gutter="0" w:footer="0" w:header="0"/>
          <w:type w:val="continuous"/>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(170,447)</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(93,753)</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140"/>
              <w:spacing w:after="0" w:line="149" w:lineRule="exact"/>
              <w:rPr>
                <w:sz w:val="20"/>
                <w:szCs w:val="20"/>
                <w:color w:val="auto"/>
              </w:rPr>
            </w:pPr>
            <w:r>
              <w:rPr>
                <w:rFonts w:ascii="Arial" w:cs="Arial" w:eastAsia="Arial" w:hAnsi="Arial"/>
                <w:sz w:val="14"/>
                <w:szCs w:val="14"/>
                <w:color w:val="auto"/>
              </w:rPr>
              <w:t>Depreciation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2,235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2,396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Change in valuation of warrant liability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140"/>
              <w:spacing w:after="0" w:line="149" w:lineRule="exact"/>
              <w:rPr>
                <w:sz w:val="20"/>
                <w:szCs w:val="20"/>
                <w:color w:val="auto"/>
              </w:rPr>
            </w:pPr>
            <w:r>
              <w:rPr>
                <w:rFonts w:ascii="Arial" w:cs="Arial" w:eastAsia="Arial" w:hAnsi="Arial"/>
                <w:sz w:val="14"/>
                <w:szCs w:val="14"/>
                <w:color w:val="auto"/>
              </w:rPr>
              <w:t>Amortization of premiums on investments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Amortization of debt issuance costs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140"/>
              <w:spacing w:after="0" w:line="149" w:lineRule="exact"/>
              <w:rPr>
                <w:sz w:val="20"/>
                <w:szCs w:val="20"/>
                <w:color w:val="auto"/>
              </w:rPr>
            </w:pPr>
            <w:r>
              <w:rPr>
                <w:rFonts w:ascii="Arial" w:cs="Arial" w:eastAsia="Arial" w:hAnsi="Arial"/>
                <w:sz w:val="14"/>
                <w:szCs w:val="14"/>
                <w:color w:val="auto"/>
              </w:rPr>
              <w:t>Share-based compensation expense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33,979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19,310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Noncash interest expense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140"/>
              <w:spacing w:after="0" w:line="149" w:lineRule="exact"/>
              <w:rPr>
                <w:sz w:val="20"/>
                <w:szCs w:val="20"/>
                <w:color w:val="auto"/>
              </w:rPr>
            </w:pPr>
            <w:r>
              <w:rPr>
                <w:rFonts w:ascii="Arial" w:cs="Arial" w:eastAsia="Arial" w:hAnsi="Arial"/>
                <w:sz w:val="14"/>
                <w:szCs w:val="14"/>
                <w:color w:val="auto"/>
              </w:rPr>
              <w:t>Loss on extinguishment of debt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Disposal of asset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14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(2,286)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80"/>
              <w:spacing w:after="0" w:line="149" w:lineRule="exact"/>
              <w:rPr>
                <w:sz w:val="20"/>
                <w:szCs w:val="20"/>
                <w:color w:val="auto"/>
              </w:rPr>
            </w:pPr>
            <w:r>
              <w:rPr>
                <w:rFonts w:ascii="Arial" w:cs="Arial" w:eastAsia="Arial" w:hAnsi="Arial"/>
                <w:sz w:val="14"/>
                <w:szCs w:val="14"/>
                <w:color w:val="auto"/>
              </w:rPr>
              <w:t>Trade receivables,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(6,907)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(3,487)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Deposits and other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 and accrued expenses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16,981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16,914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5,183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long-term liabilities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(3,307)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operating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(124,337)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(57,274)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(46,922)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fixed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(2,720)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(4,664)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Purchases of marketable securities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(223,762)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(247,804)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(156,045)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&amp; redemption of marketable securities</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205,671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107,300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29,062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gridSpan w:val="2"/>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(20,811)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0"/>
              </w:rPr>
              <w:t>(145,168)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w w:val="90"/>
              </w:rPr>
              <w:t>(127,829)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Payments on long-term debt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sale of Series Four preferred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Proceeds from exercise of options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public offerings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131,650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Debt issuance costs related to convertible notes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convertible notes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540" w:type="dxa"/>
            <w:vAlign w:val="bottom"/>
            <w:gridSpan w:val="2"/>
          </w:tcPr>
          <w:p>
            <w:pPr>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154,061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237,126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187,439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Effect of exchange rate changes on cash</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(639)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(350)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540" w:type="dxa"/>
            <w:vAlign w:val="bottom"/>
            <w:gridSpan w:val="2"/>
          </w:tcPr>
          <w:p>
            <w:pPr>
              <w:spacing w:after="0" w:line="142" w:lineRule="exact"/>
              <w:rPr>
                <w:sz w:val="20"/>
                <w:szCs w:val="20"/>
                <w:color w:val="auto"/>
              </w:rPr>
            </w:pPr>
            <w:r>
              <w:rPr>
                <w:rFonts w:ascii="Arial" w:cs="Arial" w:eastAsia="Arial" w:hAnsi="Arial"/>
                <w:sz w:val="14"/>
                <w:szCs w:val="14"/>
                <w:color w:val="auto"/>
              </w:rPr>
              <w:t>Net increase in cash and cash equivalents</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8,274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34,334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12,688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49,748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2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58,022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49,748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15,414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disclosure of cash information</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1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paid for income taxes</w:t>
            </w:r>
          </w:p>
        </w:tc>
        <w:tc>
          <w:tcPr>
            <w:tcW w:w="140" w:type="dxa"/>
            <w:vAlign w:val="bottom"/>
            <w:gridSpan w:val="2"/>
            <w:shd w:val="clear" w:color="auto" w:fill="CCEEFF"/>
          </w:tcPr>
          <w:p>
            <w:pPr>
              <w:jc w:val="right"/>
              <w:ind w:right="9"/>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9"/>
              <w:spacing w:after="0" w:line="12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9"/>
              <w:spacing w:after="0" w:line="12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non-cash information related to investing and financing activities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unrealized (loss) gain on marketable securities</w:t>
            </w: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(457)</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4"/>
                <w:szCs w:val="14"/>
                <w:color w:val="auto"/>
              </w:rPr>
              <w:t>Change in carry value of preferred securities resulting from recapitalization</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40" w:type="dxa"/>
            <w:vAlign w:val="bottom"/>
            <w:gridSpan w:val="2"/>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3,391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consolidated notes.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PTC Therapeutics, Inc. (the Company or PTC) was incorporated as a Delaware corporation on March 31, 1998. PTC is a global biopharmaceutical company focused on the discovery, development and commercialization of orally administered, small molecule therapeutics targeting an area of RNA biology referred to as post-transcriptional control. The letters "PTC" in the corporate name are an acronym for post-transcriptional control processes, which are the regulatory events that occur in cells during and after a messenger RNA is copied from DNA through the transcription process. The Company has discovered all of its compounds currently under development using its proprietary technologies. The Company plans to continue to develop these compounds both on its own and through selective collaboration arrangements with leading pharmaceutical and biotechnology companies. The Company believes that systematically targeting post-transcriptional control processes represents an unexploited approach to drug discovery and development. The Company's internally discovered pipeline addresses multiple therapeutic areas, including rare disorders and oncology.</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the evening of February 22, 2016, the Company received a Refuse to File letter from the United States Food and Drug Administration, or FDA, regarding its New Drug Application, or NDA, for its lead product, Translarna™ (ataluren), for the treatment of nonsense mutation Duchenne muscular dystrophy, or nmDMD. The FDA stated in the Refuse to File letter that the NDA was not sufficiently complete to permit a substantive review. Specifically, the Company was notified in the letter that, in the view of the FDA, both the Phase 2b and Phase 3 ACT DMD trials were negative and do not provide substantial evidence of effectiveness. Additionally, the FDA stated that the Company had proposed a post-hoc adjustment of ACT DMD that eliminates data from a majority of enrolled patients. In addition, the FDA noted that the NDA does not contain adequate information regarding the abuse potential of Translarna. While other comments and requests are noted in the letter as items to be addressed if the NDA is resubmitted, the FDA specified that they were not related to its refusal to file the NDA.</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Translarna received marketing authorization from the European Commission, or EC, in August 2014 for the treatment of nmDMD in ambulatory patients age 5 years and over in the 31 member states of the European Economic Area, or EEA. nmDMD is a rare, life threatening disorder. The marketing authorization was primarily based upon the safety and efficacy results of our 48-week, 174-patient Phase 2b double-blind, placebo controlled clinical trial evaluating the long-term safety and efficacy of Translarna in patients with nmDMD completed in 2009, or the Phase 2b trial.</w:t>
      </w:r>
    </w:p>
    <w:p>
      <w:pPr>
        <w:spacing w:after="0" w:line="167"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Company's authorization in the EEA is subject to annual review and renewal by the EC following reassessment by the European Medicines Agency, or EMA, of the risk benefit balance of the authorization, which we refer to as the annual EMA reassessment. This marketing authorization was further conditioned on the Company's ability to complete its global, confirmatory Phase 3 clinical trial in nmDMD, which the Company refers to as ACT DMD, and submit the final report, including additional efficacy and safety data from the trial. The Company submitted this final report to the EMA in January 2016 and requested that the condition to our marketing authorization be removed. The Company expects that the EMA's Committee for Medicinal Products for Human Use, or CHMP, will issue a recommendation regarding this request in mid-2016.</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(Continued)</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June 2014, the Company initiated a reimbursed expanded access program, or EAP program, for Translarna for nmDMD patients in selected territories in the EEA and recorded its first sales of Translarna in the third quarter of 2014 pursuant to the EAP program. In December 2014, the Company recorded its first commercial sales in Germany. As of December 31, 2015, Translarna was available in 17 countries on a commercial basis or pursuant to the EAP program. The Company expects to expand its launch activities across the EEA pursuant to the marketing authorization granted by the EMA throughout 2016 and future years, subject to continued renewal of its marketing authorization following annual EMA reassessments and successful completion of pricing and reimbursement negotiations. Concurrently, the Company plans to continue to pursue EAP programs in select countries where those mechanisms exist, both within the EEA and in other countries.</w:t>
      </w:r>
    </w:p>
    <w:p>
      <w:pPr>
        <w:spacing w:after="0" w:line="20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October 2015, the Company announced results from ACT DMD, including that the trial did not meet the primary efficacy endpoint of change from baseline at week 48 in distance walked in the 6-minute walk test, or 6MWT, which the Company also refers to as six-minute walk distance, or 6MWD, in the overall intent-to-treat, or ITT, study population, as it showed a 15 meter benefit (p=0.213) in favor of Translarna compared to placebo, which was not statistically significant. Analyses of data from pre-specified subgroups, including patients with baseline 6MWD of 300 - 400 meters, was also conducted. A pre-specified meta-analysis was also performed of combined data from the ACT DMD and ambulatory decline phase patients from the Company's randomized, double-blind, placebo controlled, Phase 2b clinical trial evaluating the long-term safety and efficacy of Translarna in patients with nmDMD, or the Phase 2b trial.</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2015, the Company's revenues have been and are expected to be primarily generated from sales of Translarna in counties in the EEA where pricing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reimbursement approval is obtained at acceptable levels and in other territories where the Company is permitted to distribute Translarna under reimbursed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early access programs, or EAPs. The Company is subject to a number of risks similar to those of other early stage companies, including dependence on 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individuals, the difficulties inherent in the development of commercially usable products, the potential need to obtain additional capital necessary to fund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its products, and competition from other companies. As of December 31, 2015, the Company had an accumulated deficit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$593.0 million. The Company has financed its operations to date primarily through the private offering in August 2015 of 3.00% convertible senior notes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2022 (see Note 6), public offerings of common stock in February 2014 and October 2014, its initial public offering of common stock in June 2013,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placements of its convertible preferred stock, collaborations, bank debt, convertible debt financings, grant funding and clinical trial support from governmental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philanthropic organizations and patient advocacy groups in the disease area addressed by the Company's product candidates.</w:t>
      </w:r>
    </w:p>
    <w:p>
      <w:pPr>
        <w:spacing w:after="0" w:line="213" w:lineRule="exact"/>
        <w:rPr>
          <w:sz w:val="20"/>
          <w:szCs w:val="20"/>
          <w:color w:val="auto"/>
        </w:rPr>
      </w:pPr>
    </w:p>
    <w:p>
      <w:pPr>
        <w:ind w:right="8020" w:firstLine="8"/>
        <w:spacing w:after="0" w:line="504" w:lineRule="auto"/>
        <w:tabs>
          <w:tab w:leader="none" w:pos="17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and include all adjustments necessary for the fair presentation of the Company's financial position for the periods presented.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right="7000" w:firstLine="8"/>
        <w:spacing w:after="0" w:line="504" w:lineRule="auto"/>
        <w:tabs>
          <w:tab w:leader="none" w:pos="176"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Use of estimates</w:t>
      </w:r>
    </w:p>
    <w:p>
      <w:pPr>
        <w:spacing w:after="0" w:line="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Significant estimates in these consolidated financial statements have been made in connection with the calculation of net product sales, certain accruals related to the Company's research and development expenses, stock-based compensation, initial valuation procedures for the issuance of convertible notes and the provision for or benefit from income taxes. Actual results could differ from those estimates. Changes in estimates are reflected in reported results in the period in which they become known.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PTC Therapeutics, Inc. and our wholly owned subsidiaries. All inter-company accounts, transactions, and profits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considers all highly liquid investments with a maturity of 90 days or less at the time of purchase to be cash equivalents. Cash equivalents are carried at cost which approximates fair value due to their short-term nature.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considers securities with original maturities of greater than 90 days to be available for sale securities. Securities under this classification are recorded at fair value and unrealized gains and losses within accumulated other comprehensive income. The estimated fair value of the available for sale securities is determined based on quoted market prices or rates for similar instruments. In addition, the cost of debt securities in this category is adjusted for amortization of premium and accretion of discount to maturity. The Company evaluates securities with unrealized losses to determine whether such losses, if any, are other than temporary.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right="7060" w:firstLine="8"/>
        <w:spacing w:after="0" w:line="504" w:lineRule="auto"/>
        <w:tabs>
          <w:tab w:leader="none" w:pos="17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Fixed assets</w:t>
      </w:r>
    </w:p>
    <w:p>
      <w:pPr>
        <w:spacing w:after="0" w:line="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Fixed assets are stated at cost. Depreciation is computed starting when the asset is placed into service on a straight-line basis over the estimated useful life of the related asset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60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Lesser of useful life or lease term</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6600" w:type="dxa"/>
            <w:vAlign w:val="bottom"/>
          </w:tcPr>
          <w:p>
            <w:pPr>
              <w:ind w:left="2160"/>
              <w:spacing w:after="0"/>
              <w:rPr>
                <w:sz w:val="20"/>
                <w:szCs w:val="20"/>
                <w:color w:val="auto"/>
              </w:rPr>
            </w:pPr>
            <w:r>
              <w:rPr>
                <w:rFonts w:ascii="Arial" w:cs="Arial" w:eastAsia="Arial" w:hAnsi="Arial"/>
                <w:sz w:val="18"/>
                <w:szCs w:val="18"/>
                <w:color w:val="auto"/>
              </w:rPr>
              <w:t>3 years</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lab equipment</w:t>
            </w:r>
          </w:p>
        </w:tc>
        <w:tc>
          <w:tcPr>
            <w:tcW w:w="660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3 to 7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31" w:lineRule="exact"/>
        <w:rPr>
          <w:sz w:val="20"/>
          <w:szCs w:val="20"/>
          <w:color w:val="auto"/>
        </w:rPr>
      </w:pPr>
    </w:p>
    <w:p>
      <w:pPr>
        <w:jc w:val="both"/>
        <w:ind w:right="100" w:firstLine="348"/>
        <w:spacing w:after="0" w:line="255" w:lineRule="auto"/>
        <w:rPr>
          <w:sz w:val="20"/>
          <w:szCs w:val="20"/>
          <w:color w:val="auto"/>
        </w:rPr>
      </w:pPr>
      <w:r>
        <w:rPr>
          <w:rFonts w:ascii="Arial" w:cs="Arial" w:eastAsia="Arial" w:hAnsi="Arial"/>
          <w:sz w:val="18"/>
          <w:szCs w:val="18"/>
          <w:color w:val="auto"/>
        </w:rPr>
        <w:t>The Company's financial instruments that are exposed to credit risks consist primarily of cash and cash equivalents, available-for-sale marketable securities and accounts receivable. The Company maintains its cash and cash equivalents in bank accounts, which, at times, exceed federally insured limits. The Company has not experienced any credit losses in these accounts and does not believe it is exposed to any significant credit risk on these funds. The Company's investment policy includes guidelines on the quality of the financial institutions and financial instruments the Company is allowed to invest in, which the Company believes minimizes the exposure to concentration of credit risk.</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is subject to credit risk from its accounts receivable related to its product sales revenue of Translarna. The payment terms are predetermined and the Company evaluates the creditworthiness of each customer or distributor on a regular basis. The Company reserves all uninsured amounts billed directly to a patient until the time of cash receipt as collectability is not reasonably assured at the time the product is received. To date, the Company has not incurred any credit losses.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and cost of product revenue</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2014, the Company was notified that the European Commission, or EC, granted conditional marketing authorization for Translarna for the treatment of nmDMD in ambulatory patients aged five years and older. The conditional marketing authorization allows the Company to market Translarna for the treatment of nmDMD in the 31 member states of the European Economic Area. The launch in these countries is on a country by country basis. This marketing authorization is subject to annual review and renewal by the EC following reassessment by the EMA of the risk benefit balance of the authorization. The authorization was further conditioned on the Company's submission of the final report, including additional efficacy and safety data, from ACT DMD and the Company's ability to implement measures, including pharmacovigilance plans that are detailed in the risk management plan for Translarna that was submitted to EMA. In January 2016, the Company submitted the final ACT DMD report to the EMA. In the third quarter of 2015, the EMA approved the annual renewal of the marketing authorization for Translarna for the treatment of nmDMD. The Company plans to seek to renew the marketing authorization on an annual basis until the Company's obligations have been fulfilled and the approval is converted from a conditional approval into a full approval. If the Company fails to satisfy such requirements, or if it is determined that the balance of risks and benefits of using Translarna changes materially, the European Commission could, at the EMA's recommendation, vary, suspend, withdraw or refuse to renew the marketing authorization for Translarna or require additional clinical trials. The Company does not have sufficient history or experience from which to accurately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forecast product sales or demand generation, and there continues to be substantial risk that regulators could suspend or not renew the Company's marketing authorization in the future. As such, as of the date of this filing, the Company has not capitalized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has an operating lease for office space. Rent expense is recorded on a straight-line basis over the initial lease term. The difference between the actual cash paid and the straight-line rent expense is recorded as deferred rent. Leasehold improvements made related to this lease, subsequent to its inception, are amortized over the remaining lease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Accumulated other comprehensive income (loss) consists of unrealized gains or losses on marketable securities and foreign currency translation adjustments.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recognizes revenue when amounts are realized or realizable and earned. Revenue is considered realizable and earned when the following criteria are met: (1) persuasive evidence of an arrangement exists; (2) delivery has occurred or services have been rendered; (3) the price is fixed or determinable; and (4) collection of the amounts due are reasonably assured.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Company's net product sales have consisted solely of sales of Translarna for the treatment of nmDMD in territories outside of the U.S. The Company began recognizing revenue for payments received under the reimbursed EAPs for Translarna in nmDMD patients in select countries in the third quarter of 2014. The Company has now established a pattern of collectability and, since January 2015, the Company recognizes revenue from product sales when there is persuasive evidence that an arrangement exists, title to product and associated risk of loss has passed to the customer, the price is fixed or determinable, collectability is reasonably assured and the Company has no further performance obligations in accordance with Financial Accounting Standards Board ("FASB") Accounting Standards Codification ("ASC") Subtopic 605-15, Revenue Recognition—Products.</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 has recorded revenue on sales where Translarna is available either on a commercial basis or through a reimbursed EAP program. Orders for Translarna are generally received from hospital and retail pharmacies and, in some cases, one of the Company's third-party partner distributors. The Company's third-party distributors act as intermediaries between the Company and end users and do not typically stock significant quantities of Translarna. The ultimate payor for Translarna is typically a government authority or institution or a third-party health insurer. Prior to January 1, 2015, the Company generally recognized revenue for these reimbursed EAP programs once the product was shipped on behalf of the government authority or institution on a cash basis if all other revenue recognition criteria had been met. Beginning in the first quarter of 2015, the Company has recognized revenue for Translarna as product is shipped, as the Company has established a pattern of collectability.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300" w:firstLine="348"/>
        <w:spacing w:after="0" w:line="306" w:lineRule="auto"/>
        <w:rPr>
          <w:sz w:val="20"/>
          <w:szCs w:val="20"/>
          <w:color w:val="auto"/>
        </w:rPr>
      </w:pPr>
      <w:r>
        <w:rPr>
          <w:rFonts w:ascii="Arial" w:cs="Arial" w:eastAsia="Arial" w:hAnsi="Arial"/>
          <w:sz w:val="16"/>
          <w:szCs w:val="16"/>
          <w:color w:val="auto"/>
        </w:rPr>
        <w:t>The Company records revenue net of estimated third party discounts and rebates. Allowances are recorded as a reduction of revenue at the time revenues from product sales are recognized. Allowances for government and other third-party rebates and discounts are established or estimated at the time of delivery. These allowances are adjusted to reflect known changes in factors and may impact such allowances in the quarter those changes are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Grant Revenue</w:t>
      </w:r>
    </w:p>
    <w:p>
      <w:pPr>
        <w:spacing w:after="0" w:line="225"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terms of these agreements typically include payments to the Company of one or more of the following: nonrefundable, upfront license fees; milestone payments; research funding and royalties on future product sales. In addition, the Company generates service revenue through agreements that generally provide for fees for research and development services and may include additional payments upon achievement of specified events.</w:t>
      </w:r>
    </w:p>
    <w:p>
      <w:pPr>
        <w:spacing w:after="0" w:line="16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evaluates all contingent consideration earned, such as a milestone payment, using the criteria as provided by the Financial Accounting Standards Board (FASB), guidance on the milestone method of revenue recognition. At the inception of a collaboration arrangement, the Company evaluates if a milestone payment is substantive. The criteria requires that (1) the Company determines if the milestone is commensurate with either its performance to achieve the milestone or the enhancement of value resulting from our activities to achieve the milestone; (2) the milestone be related to past performance; and (3) the milestone be reasonable relative to all deliverable and payment terms of the collaboration arrangement. If these criteria are met then the contingent milestones can be considered a substantive milestone and will be recognized as revenue in the period that the milestone is achieved. The Company recognizes royalties as earned in accordance with the terms of various research and collaboration agreements. If not substantive, the contingent consideration is allocated to the existing units of accounting based on relative selling price and recognized following the same basis previously established for the associated unit of accounting.</w:t>
      </w:r>
    </w:p>
    <w:p>
      <w:pPr>
        <w:spacing w:after="0" w:line="172"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Company recognizes revenue for reimbursements of research and development costs under collaboration agreements as the services are performed. The Company records these reimbursements as revenue and not as a reduction of research and development expenses as the Company has the risks and rewards as the principal in the research and development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Research and development expenses include the clinical development costs associated with the Company's product development programs and research and development costs associated with the Company's discovery programs. These expenses include internal research and development costs and the costs of research and development conducted on behalf of the Company by third parties, including sponsored university-based research agreements and clinical study vendors. All research and development costs are expensed as incurred. Costs incurred in obtaining technology licenses are charged immediately to research and development expense if the technology licensed has not reached technological feasibility and has no alternative future uses.</w:t>
      </w:r>
    </w:p>
    <w:p>
      <w:pPr>
        <w:spacing w:after="0" w:line="17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Nonrefundable advance payments made for goods and services that will be used in future research and development activities are deferred if the contracted party has not yet performed the related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color w:val="auto"/>
        </w:rPr>
        <w:t>activities. The amount deferred is then recognized as expense when the research and development activities are performed. The deferred research and development advance payments were $0.6 and $0.9 million as of December 31, 2015 and 2014,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The Company follows the fair value measurement rules, which provides guidance on the use of fair value in accounting and disclosure for assets and liabilities when such accounting and disclosure is called for by other accounting literature. These rules establish a fair value hierarchy for inputs to be used to measure fair value of financial assets and liabilities. This hierarchy prioritizes the inputs to valuation techniques used to measure fair value into three levels: Level 1 (highest priority), Level 2, and Level 3 (lowest priority).</w:t>
      </w:r>
    </w:p>
    <w:p>
      <w:pPr>
        <w:spacing w:after="0" w:line="211" w:lineRule="exact"/>
        <w:rPr>
          <w:sz w:val="20"/>
          <w:szCs w:val="20"/>
          <w:color w:val="auto"/>
        </w:rPr>
      </w:pPr>
    </w:p>
    <w:p>
      <w:pPr>
        <w:ind w:left="1080" w:right="3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 that the Company has the ability to access at the balance sheet date.</w:t>
      </w:r>
    </w:p>
    <w:p>
      <w:pPr>
        <w:spacing w:after="0" w:line="21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Level 2—Inputs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80"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3—Inputs are unobservable and reflect the Company's assumptions as to what market participants would use in pricing the asset or liability. The Company develops these inputs based on the best information available.</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Cash equivalents and investments are reflected in the accompanying financial statements at fair value. The carrying amount of receivables and accounts payable and accrued expenses approximates fair value due to the short-term nature of those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conversion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When the Company issues a debt or an equity security that is convertible into common stock at a discount from the fair value of the common stock at the date the debt or equity security counterparty is legally committed to purchase such a security (Commitment Date), a beneficial conversion charge is measured and recorded on the Commitment Date for the difference between the fair value of the Company's common stock and the effective conversion price of the convertible debt or equity security. If the intrinsic value of the beneficial conversion feature is greater than the proceeds allocated to the convertible debt or equity security, the amount of the discount assigned to the beneficial conversion feature is limited to the amount of the proceeds allocated to the convertible debt or equity security.</w:t>
      </w:r>
    </w:p>
    <w:p>
      <w:pPr>
        <w:spacing w:after="0" w:line="198"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amount allocated to the beneficial conversion feature is presented as a discount or reduction to the related debt security or as an immediate charge to earnings available to common shareholders for convertible preferred stock instruments that are convertible by the shareholders at any time.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right="7060" w:firstLine="8"/>
        <w:spacing w:after="0" w:line="504" w:lineRule="auto"/>
        <w:tabs>
          <w:tab w:leader="none" w:pos="17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Warrant liability</w:t>
      </w:r>
    </w:p>
    <w:p>
      <w:pPr>
        <w:spacing w:after="0" w:line="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Warrants to purchase the Company's common stock with nonstandard antidilution provisions, regardless of the probability or likelihood that may conditionally obligate the issuer to ultimately transfer assets, are classified as liabilities and are recorded at their estimated fair value at each reporting period. Any change in fair value of these warrants is recorded as gain/(loss) on warrant valuation each reporting period in Other income/(expense) on the Company's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Company monitors its long-lived assets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Although current and historical negative cash flows are indicators of impairment, management believes the future cash flows to be received from the long-lived assets and the potential success of the Company's research programs will exceed the assets' carrying value, and accordingly, the Company believes that no impairment of long-lived assets exists as of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on the grant date fair value of the award. Restricted stock awards are measured based on the fair market values of the underlying stock on the dates of grant. For service type awards, share-based compensation expense is recognized on a straight-line basis over the period during which the employee is required to provide service in exchange for the entire award. For awards that vest or begin vesting upon achievement of a performance condition, the Company estimates the likelihood of satisfaction of the performance condition and recognizes compensation expense when achievement of the performance condition is deemed probable using an accelerated attribution model.</w:t>
      </w:r>
    </w:p>
    <w:p>
      <w:pPr>
        <w:spacing w:after="0" w:line="19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fair value of options is calculated using the Black-Scholes option pricing model to determine the fair value of stock options on the date of grant based on key assumptions such as expected volatility and expected term. As a new public company, the Company does not have sufficient history to estimate the volatility of its common stock price or the expected life of the options. The Company calculates expected volatility based on reported data for similar publicly traded companies for which historical information is available and will continue to do so until the historical volatility of its common stock is sufficient to measure expected volatility for future option grants.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net operating loss and credit carryforwards. Deferred tax assets and liabilities are measured at rates expected to apply to taxable income in the years in which those temporary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spacing w:after="0" w:line="194" w:lineRule="exact"/>
        <w:rPr>
          <w:sz w:val="20"/>
          <w:szCs w:val="20"/>
          <w:color w:val="auto"/>
        </w:rPr>
      </w:pPr>
    </w:p>
    <w:p>
      <w:pPr>
        <w:jc w:val="center"/>
        <w:ind w:right="100"/>
        <w:spacing w:after="0" w:line="370" w:lineRule="auto"/>
        <w:rPr>
          <w:sz w:val="20"/>
          <w:szCs w:val="20"/>
          <w:color w:val="auto"/>
        </w:rPr>
      </w:pPr>
      <w:r>
        <w:rPr>
          <w:rFonts w:ascii="Arial" w:cs="Arial" w:eastAsia="Arial" w:hAnsi="Arial"/>
          <w:sz w:val="15"/>
          <w:szCs w:val="15"/>
          <w:color w:val="auto"/>
        </w:rPr>
        <w:t>The Company recognized a tax benefit of $4.9 million related to the sale of net operating losses in the New Jersey Technology Business Tax Certificate Transfer Program for the year ended December 31, 2014. The Company did not participate in this program during the years ended December 31, 2015 and 2013.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per share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Basic net income per share is calculated by dividing the net income attributable to common stockholders by the weighted average number of common shares outstanding for the period, without consideration for common stock equivalents. Diluted net income per share is calculated by dividing the net income attributable to common stockholders by the weighted-average number of common share equivalents outstanding for the period determined using the treasury-stock method and the if-converted method. During periods in which the Company incurs net losses, both basic and diluted loss per share is calculated by dividing the net loss by the weighted average shares outstanding—potentially dilutive securities are excluded from the calculation because their effect would be anti-dilutive. Dilutive common stock equivalents are comprised of convertible preferred stock and options outstanding under the Company's stock option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ASU 2014-09 will eliminate transaction- and industry-specific revenue recognition guidance under current GAAP and replace it with a principle-based approach for determining revenue recognition. ASU 2014-09 will require that companies recognize revenue based on the value of transferred goods or services as they occur in the contract. The ASU also will require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annual reporting periods beginning after December 15, 2017. Early application is not permitted. Entities can transition to the standard either retrospectively or as a cumulative-effect adjustment as of the date of adoption. Presently, the Company is assessing what effect the adoption of ASU 2014-09 will have on its financial statements and accompanying notes.</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April 2015, the FASB issued ASU 2015-03, Interest—Imputation of Interest, Simplifying the Presentation of Debt Issuance Costs topic of the Codification. This standard provides a simplified presentation of debt issuance costs and requires that debt issuance costs related to a recognized debt liability to be presented on the balance sheet as a direct deduction from the carrying amount of that debt liability, consistent with debt discounts. The standard is effective for public companies for annual periods beginning after December 15, 2015. The Company's unamortized debt issuance cost at December 31, 2015 was $2.8 million which is included within "Deposits and other assets" on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consolidated balance sheet. Upon adoption, the Company expects that the carrying value of its debt liability will decrease by the value associated with the unamortized debt cost.</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November 2015, the FASB issued ASU 2015-17, Income Taxes, Balance Sheet Classification of Deferred Taxes topic of the Codification. This standard requires all deferred tax assets and liabilities to be classified as non-current on the balance sheet instead of separating deferred taxes into current and non-current amounts. In addition, valuation allowance allocations between current and non-current deferred tax assets are no longer required because those allowances also will be classified as non-current. This standard is effective for public companies for annual periods beginning after December 15, 2016. The Company's deferred tax assets is provided with full valuation allowance as of December 31, 2015. As such, the Company does not expect that this standard will have a significant impact upon adoption.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 and investments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Fair value of certain investments is based upon market prices using quoted prices in active markets for identical assets quoted on the last day of the year. In establishing the estimated fair value of the remaining investments, the Company used the fair value as determined by its investment advisors using observable inputs other than quoted prices.</w:t>
      </w:r>
    </w:p>
    <w:p>
      <w:pPr>
        <w:spacing w:after="0" w:line="194"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Company reviews its investments on a periodic basis for other-than-temporary impairments. This review is subjective, as it requires management to evaluate whether an event or change in circumstances has occurred in that period that may have a significant adverse effect on the fair value of the investment.</w:t>
      </w:r>
    </w:p>
    <w:p>
      <w:pPr>
        <w:spacing w:after="0" w:line="11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following represents the fair value using the hierarchy described in Note 2 for the Company's financial assets and liabilities that are required to be measured at fair value on a recurring basis as of December 31, 2015 and 2014:</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80" w:type="dxa"/>
            <w:vAlign w:val="bottom"/>
          </w:tcPr>
          <w:p>
            <w:pPr>
              <w:spacing w:after="0"/>
              <w:rPr>
                <w:sz w:val="11"/>
                <w:szCs w:val="11"/>
                <w:color w:val="auto"/>
              </w:rPr>
            </w:pPr>
          </w:p>
        </w:tc>
        <w:tc>
          <w:tcPr>
            <w:tcW w:w="94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 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other</w:t>
            </w: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markets for</w:t>
            </w:r>
          </w:p>
        </w:tc>
        <w:tc>
          <w:tcPr>
            <w:tcW w:w="8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2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2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8"/>
              </w:rPr>
              <w:t>(level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8"/>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8"/>
              </w:rPr>
              <w:t>(level 3)</w:t>
            </w:r>
          </w:p>
        </w:tc>
        <w:tc>
          <w:tcPr>
            <w:tcW w:w="160" w:type="dxa"/>
            <w:vAlign w:val="bottom"/>
          </w:tcPr>
          <w:p>
            <w:pPr>
              <w:spacing w:after="0"/>
              <w:rPr>
                <w:sz w:val="14"/>
                <w:szCs w:val="14"/>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280,903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280,903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Warrant liability</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r>
      <w:tr>
        <w:trPr>
          <w:trHeight w:val="844"/>
        </w:trPr>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80" w:type="dxa"/>
            <w:vAlign w:val="bottom"/>
          </w:tcPr>
          <w:p>
            <w:pPr>
              <w:spacing w:after="0"/>
              <w:rPr>
                <w:sz w:val="11"/>
                <w:szCs w:val="11"/>
                <w:color w:val="auto"/>
              </w:rPr>
            </w:pPr>
          </w:p>
        </w:tc>
        <w:tc>
          <w:tcPr>
            <w:tcW w:w="94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 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other</w:t>
            </w: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markets for</w:t>
            </w:r>
          </w:p>
        </w:tc>
        <w:tc>
          <w:tcPr>
            <w:tcW w:w="8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2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2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8"/>
              </w:rPr>
              <w:t>(level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8"/>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8"/>
              </w:rPr>
              <w:t>(level 3)</w:t>
            </w:r>
          </w:p>
        </w:tc>
        <w:tc>
          <w:tcPr>
            <w:tcW w:w="160" w:type="dxa"/>
            <w:vAlign w:val="bottom"/>
          </w:tcPr>
          <w:p>
            <w:pPr>
              <w:spacing w:after="0"/>
              <w:rPr>
                <w:sz w:val="14"/>
                <w:szCs w:val="14"/>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265,493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265,493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Warrant Liability</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r>
    </w:tbl>
    <w:p>
      <w:pPr>
        <w:spacing w:after="0" w:line="20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Company uses the market approach to measure fair value for its financial assets. The market approach uses prices and other relevant information generated by market transactions involving</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 and investments (Continued)</w:t>
      </w:r>
    </w:p>
    <w:p>
      <w:pPr>
        <w:spacing w:after="0" w:line="23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identical or comparable assets. The Company's marketable securities investments classified as Level 2 primarily utilize broker to value these securities. No transfers of assets between Level 1 and Level 2 of the fair value measurement hierarchy occurred during the year ended December 31, 2015.</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marketable securities accounted for as available-for-sale securities at December 31, 2015 and 2014:</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center"/>
              <w:ind w:right="82"/>
              <w:spacing w:after="0"/>
              <w:rPr>
                <w:sz w:val="20"/>
                <w:szCs w:val="20"/>
                <w:color w:val="auto"/>
              </w:rPr>
            </w:pPr>
            <w:r>
              <w:rPr>
                <w:rFonts w:ascii="Arial" w:cs="Arial" w:eastAsia="Arial" w:hAnsi="Arial"/>
                <w:sz w:val="14"/>
                <w:szCs w:val="14"/>
                <w:b w:val="1"/>
                <w:bCs w:val="1"/>
                <w:color w:val="auto"/>
                <w:w w:val="85"/>
              </w:rPr>
              <w:t>December 31, 2015</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5"/>
          </w:tcPr>
          <w:p>
            <w:pPr>
              <w:jc w:val="center"/>
              <w:ind w:right="242"/>
              <w:spacing w:after="0" w:line="12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5"/>
          </w:tcPr>
          <w:p>
            <w:pPr>
              <w:jc w:val="center"/>
              <w:ind w:right="262"/>
              <w:spacing w:after="0"/>
              <w:rPr>
                <w:sz w:val="20"/>
                <w:szCs w:val="20"/>
                <w:color w:val="auto"/>
              </w:rPr>
            </w:pPr>
            <w:r>
              <w:rPr>
                <w:rFonts w:ascii="Arial" w:cs="Arial" w:eastAsia="Arial" w:hAnsi="Arial"/>
                <w:sz w:val="14"/>
                <w:szCs w:val="14"/>
                <w:b w:val="1"/>
                <w:bCs w:val="1"/>
                <w:color w:val="auto"/>
                <w:w w:val="90"/>
              </w:rPr>
              <w:t>Unrealized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Fair</w:t>
            </w: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57"/>
              <w:spacing w:after="0" w:line="142" w:lineRule="exact"/>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Gains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26,877</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226,959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226,319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Government obligations</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281,492</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280,903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center"/>
              <w:ind w:right="82"/>
              <w:spacing w:after="0"/>
              <w:rPr>
                <w:sz w:val="20"/>
                <w:szCs w:val="20"/>
                <w:color w:val="auto"/>
              </w:rPr>
            </w:pPr>
            <w:r>
              <w:rPr>
                <w:rFonts w:ascii="Arial" w:cs="Arial" w:eastAsia="Arial" w:hAnsi="Arial"/>
                <w:sz w:val="14"/>
                <w:szCs w:val="14"/>
                <w:b w:val="1"/>
                <w:bCs w:val="1"/>
                <w:color w:val="auto"/>
                <w:w w:val="85"/>
              </w:rPr>
              <w:t>December 31, 2014</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5"/>
          </w:tcPr>
          <w:p>
            <w:pPr>
              <w:jc w:val="center"/>
              <w:ind w:right="242"/>
              <w:spacing w:after="0" w:line="129"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5"/>
          </w:tcPr>
          <w:p>
            <w:pPr>
              <w:jc w:val="center"/>
              <w:ind w:right="262"/>
              <w:spacing w:after="0"/>
              <w:rPr>
                <w:sz w:val="20"/>
                <w:szCs w:val="20"/>
                <w:color w:val="auto"/>
              </w:rPr>
            </w:pPr>
            <w:r>
              <w:rPr>
                <w:rFonts w:ascii="Arial" w:cs="Arial" w:eastAsia="Arial" w:hAnsi="Arial"/>
                <w:sz w:val="14"/>
                <w:szCs w:val="14"/>
                <w:b w:val="1"/>
                <w:bCs w:val="1"/>
                <w:color w:val="auto"/>
                <w:w w:val="90"/>
              </w:rPr>
              <w:t>Unrealized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Fair</w:t>
            </w: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57"/>
              <w:spacing w:after="0" w:line="142" w:lineRule="exact"/>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Gains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230,379</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230,031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Government obligations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2"/>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35,462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265,880</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265,493</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Unrealized gains and losses are reported as a component of accumulated other comprehensive (loss) income in stockholders' equity. During the year ended December 31, 2015, the Company did not have any realized gains/losses from the sale of marketable securities. The cost of securities sold is based on the specific identification method. The Company evaluates investments with unrealized losses to determine if the losses are other than temporary. At December 31, 2015, the Company held securities with an unrealized loss position that were not considered to be other-than-temporarily impaired as the Company has the ability to hold such investments until recovery of their fair value. In addition, the Company considered the financial condition, credit ratings and near-term prospects of the issuers, and the magnitude of the losses as compared to the cost and the length of time the investments have been in an unrealized loss position when determining if the losses are other than temporary.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 and investments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Marketable securities on the balance sheet at December 31, 2015 and 2014 mature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 2015</w:t>
            </w:r>
          </w:p>
        </w:tc>
      </w:tr>
      <w:tr>
        <w:trPr>
          <w:trHeight w:val="129"/>
        </w:trPr>
        <w:tc>
          <w:tcPr>
            <w:tcW w:w="60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8"/>
              </w:rPr>
              <w:t>Less Than</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More Than</w:t>
            </w:r>
          </w:p>
        </w:tc>
        <w:tc>
          <w:tcPr>
            <w:tcW w:w="160" w:type="dxa"/>
            <w:vAlign w:val="bottom"/>
          </w:tcPr>
          <w:p>
            <w:pPr>
              <w:spacing w:after="0"/>
              <w:rPr>
                <w:sz w:val="11"/>
                <w:szCs w:val="11"/>
                <w:color w:val="auto"/>
              </w:rPr>
            </w:pPr>
          </w:p>
        </w:tc>
      </w:tr>
      <w:tr>
        <w:trPr>
          <w:trHeight w:val="161"/>
        </w:trPr>
        <w:tc>
          <w:tcPr>
            <w:tcW w:w="6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12 Months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12 Months</w:t>
            </w:r>
          </w:p>
        </w:tc>
        <w:tc>
          <w:tcPr>
            <w:tcW w:w="160" w:type="dxa"/>
            <w:vAlign w:val="bottom"/>
          </w:tcPr>
          <w:p>
            <w:pPr>
              <w:spacing w:after="0"/>
              <w:rPr>
                <w:sz w:val="14"/>
                <w:szCs w:val="14"/>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85,488</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Government obligations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8,633</w:t>
            </w: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186,782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94,121</w:t>
            </w:r>
          </w:p>
        </w:tc>
        <w:tc>
          <w:tcPr>
            <w:tcW w:w="16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6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 2014</w:t>
            </w:r>
          </w:p>
        </w:tc>
      </w:tr>
      <w:tr>
        <w:trPr>
          <w:trHeight w:val="129"/>
        </w:trPr>
        <w:tc>
          <w:tcPr>
            <w:tcW w:w="60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8"/>
              </w:rPr>
              <w:t>Less Than</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More Than</w:t>
            </w:r>
          </w:p>
        </w:tc>
        <w:tc>
          <w:tcPr>
            <w:tcW w:w="160" w:type="dxa"/>
            <w:vAlign w:val="bottom"/>
          </w:tcPr>
          <w:p>
            <w:pPr>
              <w:spacing w:after="0"/>
              <w:rPr>
                <w:sz w:val="11"/>
                <w:szCs w:val="11"/>
                <w:color w:val="auto"/>
              </w:rPr>
            </w:pPr>
          </w:p>
        </w:tc>
      </w:tr>
      <w:tr>
        <w:trPr>
          <w:trHeight w:val="161"/>
        </w:trPr>
        <w:tc>
          <w:tcPr>
            <w:tcW w:w="6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12 Months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12 Months</w:t>
            </w:r>
          </w:p>
        </w:tc>
        <w:tc>
          <w:tcPr>
            <w:tcW w:w="160" w:type="dxa"/>
            <w:vAlign w:val="bottom"/>
          </w:tcPr>
          <w:p>
            <w:pPr>
              <w:spacing w:after="0"/>
              <w:rPr>
                <w:sz w:val="14"/>
                <w:szCs w:val="14"/>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72,273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Government obligations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29,459</w:t>
            </w:r>
          </w:p>
        </w:tc>
      </w:tr>
      <w:tr>
        <w:trPr>
          <w:trHeight w:val="20"/>
        </w:trPr>
        <w:tc>
          <w:tcPr>
            <w:tcW w:w="6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101,732</w:t>
            </w:r>
          </w:p>
        </w:tc>
      </w:tr>
      <w:tr>
        <w:trPr>
          <w:trHeight w:val="20"/>
        </w:trPr>
        <w:tc>
          <w:tcPr>
            <w:tcW w:w="6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Convertible 3.0% senior notes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August 2015, the Company issued $150.0 million of 3.0% convertible senior notes due August 15, 2022 (the "Convertible Notes"). Interest is payable semi-annually on February 15 and August 15 of each year, beginning on February 15, 2016. The Company separately accounted for the liability and equity components of the Convertible Notes by allocating the proceeds between the liability component and equity component, as further discussed in Note 6. The fair value of the Convertible Notes, which differs from their carrying values, is influenced by interest rates, the Company's stock price and stock price volatility and is determined by prices for the Convertible Notes observed in market trading which are Level 2 inputs. The estimated fair value of the Convertible Notes at December 31, 2015 was $150.0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valuation</w:t>
      </w:r>
    </w:p>
    <w:p>
      <w:pPr>
        <w:spacing w:after="0" w:line="231" w:lineRule="exact"/>
        <w:rPr>
          <w:sz w:val="20"/>
          <w:szCs w:val="20"/>
          <w:color w:val="auto"/>
        </w:rPr>
      </w:pPr>
    </w:p>
    <w:p>
      <w:pPr>
        <w:jc w:val="both"/>
        <w:ind w:right="300" w:firstLine="348"/>
        <w:spacing w:after="0" w:line="298" w:lineRule="auto"/>
        <w:rPr>
          <w:sz w:val="20"/>
          <w:szCs w:val="20"/>
          <w:color w:val="auto"/>
        </w:rPr>
      </w:pPr>
      <w:r>
        <w:rPr>
          <w:rFonts w:ascii="Arial" w:cs="Arial" w:eastAsia="Arial" w:hAnsi="Arial"/>
          <w:sz w:val="16"/>
          <w:szCs w:val="16"/>
          <w:color w:val="auto"/>
        </w:rPr>
        <w:t>The warrant liability is classified in Other long-term liabilities on the Company's balance sheet. The warrant liability is marked-to-market each reporting period with the change in fair value recorded as a gain or loss within Other income/(expense) on the Company's statement of operations until the warrants are exercised, expire or other facts and circumstances lead the warrant liability to be reclassified as an equity instrument. The fair value of the warrant liability is determined at each reporting period by utilizing the Black-Scholes option pricing model.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 and investments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presented below is a summary of changes in the fair value of the Company's Level 3 valuation for warrant liability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Level 3 assets</w:t>
            </w:r>
          </w:p>
        </w:tc>
        <w:tc>
          <w:tcPr>
            <w:tcW w:w="16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January 1, 2014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r>
      <w:tr>
        <w:trPr>
          <w:trHeight w:val="20"/>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December 31, 2014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0"/>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as of December 31, 2015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Fair value of the warrant liability is estimated using an option-pricing model, which includes variables such as the expected volatility based on guideline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public companies, the preferred stock value, and the estimated time to a liquidity event. The significant assumptions used in preparing the option pricing model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valuing the Company's warrants as of December 31, 2015 include (i) volatility (62%-70%), (ii) risk free interest rate (0.86%-1.54%), (iii)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($128.00-$2,520.00), (iv) fair value of common stock ($32.40) and (v) expected life (1.5-3.7 years). The significant assumptions used in preparing the 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pricing model for valuing the Company's warrants as of December 31, 2014 include (i) volatility (68%-70%), (ii) risk free interest rate (0.89%-1.65%), (iii) strike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($128.00-$2,520.00), (iv) fair value of common stock ($51.77) and (v) expected life (2.5-4.7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Fixed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Fixed assets, net were as follows at December 31, 2015 and 2014:</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2,472</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lab equipment</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15,070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Assets in process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3,483</w:t>
            </w:r>
          </w:p>
        </w:tc>
      </w:tr>
      <w:tr>
        <w:trPr>
          <w:trHeight w:val="20"/>
        </w:trPr>
        <w:tc>
          <w:tcPr>
            <w:tcW w:w="4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34,076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(27,702)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(24,917)</w:t>
            </w:r>
          </w:p>
        </w:tc>
      </w:tr>
      <w:tr>
        <w:trPr>
          <w:trHeight w:val="20"/>
        </w:trPr>
        <w:tc>
          <w:tcPr>
            <w:tcW w:w="4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9,159</w:t>
            </w:r>
          </w:p>
        </w:tc>
      </w:tr>
      <w:tr>
        <w:trPr>
          <w:trHeight w:val="20"/>
        </w:trPr>
        <w:tc>
          <w:tcPr>
            <w:tcW w:w="4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Depreciation expense was approximately $2.9 million, $2.2 million, and $2.4 million for the years ended December 31, 2015, 2014 and 2013, respectively.</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payable and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accrued expenses at December 31, 2015 and 2014 consist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benefits, and related accruals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11,187</w:t>
            </w: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9,312</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Consulting and contracted research</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13,753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9,349</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11,940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4,128</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2,998</w:t>
            </w:r>
          </w:p>
        </w:tc>
      </w:tr>
      <w:tr>
        <w:trPr>
          <w:trHeight w:val="210"/>
        </w:trPr>
        <w:tc>
          <w:tcPr>
            <w:tcW w:w="6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45,247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29,121</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Debt Facility</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September 2009, the Company entered into a $25.0 million secured debt facility with a syndicate of two lenders. The Company borrowed $12.5 million under the facility in September 2009 and an additional $10.0 million under the facility in December 2010 and issued the lenders promissory notes. The notes were secured by substantially all of the Company's assets except for intellectual property. In July 2013, the Company paid in full the outstanding principal and interest of $2.6 million due under the promissory notes issued in connection with the secured debt facility. As a result of this transaction, the Company recorded a loss on extinguishment of debt of $0.1 million on the Company's statement of operations for the year ended December 31, 2013. The loss on extinguishment of debt primarily represented the write off of related deferred financing costs, the acceleration of recognition of debt extinguishment fees and the prepayment premium payable.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Convertible Notes</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August 2015, the Company issued, at par value, $150.0 million aggregate principal amount of 3.0% convertible senior notes due 2022. The Convertible Notes bear cash interest at a rate of 3.0% per year, payable semi-annually on February 15 and August 15 of each year, beginning on February 15, 2016. The Convertible Notes will mature on August 15, 2022, unless earlier repurchased or converted. The net proceeds to the Company from the offering were $145.4 million after deducting the initial purchasers' discounts and commissions and the offering expenses payable by the Company.</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Convertible Notes are governed by an indenture (the Convertible Notes Indenture) with U.S Bank National Association as trustee (the Convertible Notes Trustee).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may convert their Convertible Notes at their option at any time prior to the close of business on the business day immediately preceding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2022 only under the following circumstances:</w:t>
      </w:r>
    </w:p>
    <w:p>
      <w:pPr>
        <w:spacing w:after="0" w:line="232" w:lineRule="exact"/>
        <w:rPr>
          <w:sz w:val="20"/>
          <w:szCs w:val="20"/>
          <w:color w:val="auto"/>
        </w:rPr>
      </w:pPr>
    </w:p>
    <w:p>
      <w:pPr>
        <w:ind w:left="1080" w:right="1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any calendar quarter commencing on or after September 30, 2015 (and only during such calendar quarter), if the last reported sale price of the Company's common stock for 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 (Continued)</w:t>
      </w:r>
    </w:p>
    <w:p>
      <w:pPr>
        <w:spacing w:after="0" w:line="231" w:lineRule="exact"/>
        <w:rPr>
          <w:sz w:val="20"/>
          <w:szCs w:val="20"/>
          <w:color w:val="auto"/>
        </w:rPr>
      </w:pPr>
    </w:p>
    <w:p>
      <w:pPr>
        <w:ind w:left="1080"/>
        <w:spacing w:after="0" w:line="332" w:lineRule="auto"/>
        <w:rPr>
          <w:sz w:val="20"/>
          <w:szCs w:val="20"/>
          <w:color w:val="auto"/>
        </w:rPr>
      </w:pPr>
      <w:r>
        <w:rPr>
          <w:rFonts w:ascii="Arial" w:cs="Arial" w:eastAsia="Arial" w:hAnsi="Arial"/>
          <w:sz w:val="16"/>
          <w:szCs w:val="16"/>
          <w:color w:val="auto"/>
        </w:rPr>
        <w:t>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53" w:lineRule="exact"/>
        <w:rPr>
          <w:sz w:val="20"/>
          <w:szCs w:val="20"/>
          <w:color w:val="auto"/>
        </w:rPr>
      </w:pPr>
    </w:p>
    <w:p>
      <w:pPr>
        <w:ind w:left="1080" w:hanging="532"/>
        <w:spacing w:after="0" w:line="306"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Convertible Notes Indenture) per $1,000 principal amount of Convertible Notes for each trading day of the measurement period was less than 98% of the product of the last reported sale price of the Company's common stock and the conversion rate on each such trading day;</w:t>
      </w:r>
    </w:p>
    <w:p>
      <w:pPr>
        <w:spacing w:after="0" w:line="187" w:lineRule="exact"/>
        <w:rPr>
          <w:rFonts w:ascii="Arial" w:cs="Arial" w:eastAsia="Arial" w:hAnsi="Arial"/>
          <w:sz w:val="16"/>
          <w:szCs w:val="16"/>
          <w:color w:val="auto"/>
        </w:rPr>
      </w:pPr>
    </w:p>
    <w:p>
      <w:pPr>
        <w:ind w:left="1080" w:right="6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during any period after the Company has issued notice of redemption until the close of business on the scheduled trading day immediately preceding the relevant redemption date;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 or after February 15, 2022, until the close of business on the business day immediately preceding the maturity date, holders may convert their Convertible Notes at any time, regardless of the foregoing circumstances. Upon conversion, the Company will pay cash up to the aggregate principal amount of the Convertible Notes to be converted and deliver shares of its common stock in respect of the remainder, if any, of its conversion obligation in excess of the aggregate principal amount of Convertible Notes being converted.</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conversion rate for the Convertible Notes was initially, and remains, 17.7487 shares of the Company's common stock per $1,000 principal amount of the Convertible Notes, which is equivalent to an initial conversion price of approximately $56.34 per share of the Company's common stock.</w:t>
      </w:r>
    </w:p>
    <w:p>
      <w:pPr>
        <w:spacing w:after="0" w:line="139"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 may not redeem the Convertible Notes prior to August 20, 2018. The Company may redeem for cash all or any portion of the Convertible Notes, at its option, on or after August 20, 2018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Convertible Notes to be redeemed, plus accrued and unpaid interest to, but excluding, the redemption date. No sinking fund is provided for the Convertible Notes, which means that the Company is not required to redeem or retire the Convertible Notes periodically.</w:t>
      </w:r>
    </w:p>
    <w:p>
      <w:pPr>
        <w:spacing w:after="0" w:line="17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If the Company undergoes a "fundamental change" (as defined in the Indenture governing the Convertible Notes Indenture), subject to certain conditions, holders of the Convertible Notes may require the Company to repurchase for cash all or part of their Convertible Notes at a repurchase price equal to 100% of the principal amount of the Convertible Notes to be repurchased, plus accrued and unpaid interest to, but excluding, the fundamental change repurchase date.</w:t>
      </w:r>
    </w:p>
    <w:p>
      <w:pPr>
        <w:spacing w:after="0" w:line="16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Convertible Notes Indenture contains customary events of default with respect to the Convertible Notes, including that upon certain events of default (including the Company's failure to make any payment of principal or interest on the Convertible Notes when due and payable) occurring and continuing, the Convertible Notes Trustee by notice to the Company, or the holders of at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 (Continued)</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least 25% in principal amount of the outstanding Convertible Notes by notice to the Company and the Convertible Notes Trustee, may, and the Convertible Notes Trustee at the request of such holders (subject to the provisions of the Convertible Notes Indenture) shall, declare 100% of the principal of and accrued and unpaid interest, if any, on all the Convertible Notes to be due and payable. In case of certain events of bankruptcy, insolvency or reorganization, involving the Company or a significant subsidiary, 100% of the principal of and accrued and unpaid interest on the Convertible Notes will automatically become due and payable. Upon such a declaration of acceleration, such principal and accrued and unpaid interest, if any, will be due and payable immediately.</w:t>
      </w:r>
    </w:p>
    <w:p>
      <w:pPr>
        <w:spacing w:after="0" w:line="170"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Company accounts for the Convertible Notes as a liability and equity component where the carrying value of the liability component will be valued based on a similar instrument. In accounting for the issuance of the Convertible Notes, the Company separated the Convertible Notes into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Convertible Notes as a whole. The excess of the principal amount of the liability component over its carrying amount, referred to as the debt discount, is amortized to interest expense over the seven-year term of the Convertible Notes. The equity component is not re-measured as long as it continues to meet the conditions for equity classification.</w:t>
      </w:r>
    </w:p>
    <w:p>
      <w:pPr>
        <w:spacing w:after="0" w:line="172"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accounting for the transaction costs related to the issuance of the Convertible Notes, the Company allocated the total costs incurred to the liability and equity components of the Convertible Notes based on their relative values. Transaction costs attributable to the liability component are amortized to interest expense over the seven-year term of the Convertible Notes, and transaction costs attributable to the equity component are netted with the equity components in stockholders' equity. Additionally, the Company initially recorded a net deferred tax liability of $22.3 million in connection with the Notes.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Convertible Notes consist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Liability component</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6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Principal</w:t>
            </w:r>
          </w:p>
        </w:tc>
        <w:tc>
          <w:tcPr>
            <w:tcW w:w="5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150,000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Less: Debt discount, net (1)</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(55,392)</w:t>
            </w:r>
          </w:p>
        </w:tc>
        <w:tc>
          <w:tcPr>
            <w:tcW w:w="18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94,608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40" w:hanging="540"/>
        <w:spacing w:after="0" w:line="268" w:lineRule="auto"/>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Included in the consolidated balance sheets within convertible senior notes (due 2022) and amortized to interest expense over the remaining life of the Convertible Notes using the effective interest rate method.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total interest expense recognized related to the Convertible Notes: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expense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3,955</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Effective interest rate of the liability component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prior to 2013 recapitalization</w:t>
      </w:r>
    </w:p>
    <w:p>
      <w:pPr>
        <w:spacing w:after="0" w:line="231"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As of December 31, 2012, the Company had authorized for issuance up to 29,500,000 shares of preferred stock, $0.001 par value. The authorized shares as of December 31, 2012 were designated as follows: 2,000,000 shares of Series One convertible preferred stock (Series One), 13,750,000 shares of Series Two convertible preferred stock (Series Two), and 13,750,000 shares of Series Three convertible preferred stock (Series Three).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Recapitalization</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During January and February of 2013, the Company entered into a "bridge" financing arrangement with certain existing investors providing for the issuance by the Company of an aggregate of $6 million of convertible promissory notes and warrants to purchase 2,527,675 shares of Series One and Series Two convertible preferred stock. The warrants have a per share exercise price of $0.01, and as such, they are referred to as "penny warrants". This bridge financing was closed in anticipation of the March 2013 Series Four financing event, which the Company refers to as the "2013 recapitalization".</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allocated the proceeds of the convertible promissory notes between debt and warrant liability. Since the value of the warrants exceeded the proceeds from the convertible notes issued to existing investors, the value of the warrant in excess of the proceeds is considered a deemed dividend and reflected as an equity transaction in the financial statements. The Company recorded $6.0 million to interest expense related to the debt discount associated with the convertible debt during the quarter ended March 31, 2013.</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March 7, 2013, the Company closed a private placement of a new series of convertible preferred stock that resulted in another recapitalization event (the 2013 recapitalization). In this private placement, the Company issued and sold an aggregate of 4,497,035 shares of its Series Four senior preferred stock (Series Four) for an aggregate purchase price of approximately $54 million. Including the $6.0 million raised with the bridge financing, total gross proceeds raised during the quarter ended March 31, 2013 was approximately $60.0 million. In addition, the Company issued an aggregate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structure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502,919 shares of Series Four upon the share settlement of the convertible promissory notes described above that were issued in January and February 2013.</w:t>
      </w:r>
    </w:p>
    <w:p>
      <w:pPr>
        <w:spacing w:after="0" w:line="248"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In connection with this private placement, the Company effected a one- for-120 reverse stock split of its common stock and an exchange of outstanding shares of Series One, Series Two and Series Three convertible preferred stock into an aggregate of 6,700,487 shares of a new series of Series Five junior preferred stock (Series Five). In addition, the Company issued an aggregate of 2,527,675 shares of Series One and Series Two convertible preferred stock upon the exercise of the warrants issued in connection with the bridge loan that were immediately exchanged for 2,095,515 shares of Series Five during the 2013 recapitalization.</w:t>
      </w:r>
    </w:p>
    <w:p>
      <w:pPr>
        <w:spacing w:after="0" w:line="152"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Company accounted for the 2013 recapitalization as an extinguishment of its Series One, Series Two and Series Three convertible preferred stock and recorded the Series Five shares at their fair value as of the recapitalization date. In accordance with authoritative accounting guidance, the Company recorded a gain attributable to the common stockholders on the extinguishment of the Series One, Series Two and Series Three convertible preferred stock. The gain of approximately $3.4 million represents the excess of the Series One, Series Two and Series Three convertible preferred stock over the fair value of the shares Series Five issued in connection with the recapitalization.</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Valuation</w:t>
      </w:r>
      <w:r>
        <w:rPr>
          <w:rFonts w:ascii="Arial" w:cs="Arial" w:eastAsia="Arial" w:hAnsi="Arial"/>
          <w:sz w:val="18"/>
          <w:szCs w:val="18"/>
          <w:color w:val="auto"/>
        </w:rPr>
        <w:t>—The value of the Company was estimated using the PWERM. The PWERM considered the most significant near-term driver of value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 the Company's ability to complete a Phase 3 clinical trial of ataluren for the treatment of Duchenne muscular dystrophy caused by nonsense mutations (nmDMD). The remaining scenarios in the PWERM related to funding the completion of the Phase 3 clinical trial for nmDMD. The path to raising this money made up the remaining nodes in the PWERM.</w:t>
      </w:r>
    </w:p>
    <w:p>
      <w:pPr>
        <w:spacing w:after="0" w:line="19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After identifying the various potential liquidity scenarios and their likely timing, a pre-money enterprise value was assigned to each scenario based on a combination of management's guidance and recent trends in the capital markets. The resulting enterprise value for each liquidity event was divided by the total shares that would be outstanding under each scenario to arrive at a price per share for the common and preferred classes of stock. Each scenario was then assigned an outcome probability based on management's estimates. The resulting probability weighted share values were then discounted to present value at a rate that reflects general industry risks (but not Company specific risks).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rights and preferences of the shares of Series Four and Series Five are as follows: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holders of Series Four and Series Five, in preference to the holders of common stock, were entitled to noncumulative dividends when and if</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by the Board of Directors.</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—Upon the liquidation, dissolution, reorganization or winding-up of the Company, the holders of Series Four would have been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before any distribution or payment was made to any other class of security, an amount equal to the original issuance price, plus all declared, but unpaid, dividends. To the extent there had been excess assets to distribute, the holders of Series Five would have been entitled to receive, before any distribution or payment was made to the holders of the common stock, an amount equal to the stated liquidation preference, plus all declared, but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structure (Continued)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unpaid, dividends. To the extent there had been remaining assets to distribute, the holders of common stock would have been entitled to receive such remaining assets.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Voting</w:t>
      </w:r>
      <w:r>
        <w:rPr>
          <w:rFonts w:ascii="Arial" w:cs="Arial" w:eastAsia="Arial" w:hAnsi="Arial"/>
          <w:sz w:val="16"/>
          <w:szCs w:val="16"/>
          <w:color w:val="auto"/>
        </w:rPr>
        <w:t>—Each holder of Series Four and Series Five was entitled to cast the number of votes into which such holder's shares would have converted.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by law, holders of common stock had limited voting rights. Additionally, except as required by law, and except in certain enumerated circumstances, holders of Series Four and Series Five would have voted together with the holders of common stock as a single class.</w:t>
      </w:r>
    </w:p>
    <w:p>
      <w:pPr>
        <w:spacing w:after="0" w:line="161"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—Each share of Series Four and Series Five is convertible at any time at the option of the holder into one share of common stock. These</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ratios were subject to adjustment for certain dilutive events, including certain types of stock splits or stock dividends or future recapitalizations.</w:t>
      </w:r>
    </w:p>
    <w:p>
      <w:pPr>
        <w:spacing w:after="0" w:line="13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May 2013, the Company issued and sold an additional 375,000 shares of Series Four, at a price per share of $12.00, for an aggregate purchase price of $4.5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May 2013, the Company's Board of Directors and stockholders approved an amendment to the Company's certificate of incorporation increasing the number of authorized shares of common stock to 125,000,000.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June 2013, the Company closed the initial public offering of its common stock pursuant to a registration statement on Form S-1, as amended. The Company issued and sold an aggregate of 9,627,800 shares of common stock under the registration statement at a public offering price of $15.00 per share, including 1,255,800 shares pursuant to the exercise by the underwriters of an over- allotment option. The Company received net proceeds from the initial public offering of approximately $131.6 million, after deducting underwriting discounts and commissions and other offering expenses payable by the Company.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closing the initial public offering, all outstanding shares of the Series Four and Series Five were converted into 14,170,956 shares of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Offerings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February 2014, the Company closed a follow-on public offering of its common stock pursuant to a registration statement on Form S-1, as amended. The Company issued and sold an aggregate of 5,163,265 shares of common stock under the registration statement at a public offering price of $24.50 per share, including 673,469 shares pursuant to the exercise by the underwriters of an over-allotment option. The Company received net proceeds from the follow -on public offering of approximately $118.4 million, after deducting underwriting discounts and commissions and other offering expenses payable by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structure (Continued)</w:t>
      </w:r>
    </w:p>
    <w:p>
      <w:pPr>
        <w:spacing w:after="0" w:line="231"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On October 16, 2014, the Company closed an underwritten public offering of its common stock pursuant to a registration statement on Form S-3. The Company issued and sold an aggregate of 3,450,000 shares of common stock under the registration statement at a public offering price of $36.25 per share, including 450,000 shares issued upon exercise by the underwriters of their option to purchase additional shares. The Company received net proceeds of approximately $117.6 million after deducting underwriting discounts and commissions and other offering expenses payable by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All of the Company's outstanding warrants are classified as liabilities as of December 31, 2015 and 2014 because they contain non-standard antidilution provisions.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Company's outstanding warrants as of December 31, 2015 and 2014:</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Warrant shares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4"/>
              </w:rPr>
              <w:t>Exercise price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9"/>
              </w:rPr>
              <w:t>Expiration</w:t>
            </w:r>
          </w:p>
        </w:tc>
        <w:tc>
          <w:tcPr>
            <w:tcW w:w="160" w:type="dxa"/>
            <w:vAlign w:val="bottom"/>
          </w:tcPr>
          <w:p>
            <w:pPr>
              <w:spacing w:after="0"/>
              <w:rPr>
                <w:sz w:val="14"/>
                <w:szCs w:val="14"/>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7,030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128.00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2019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2,520.00</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2019</w:t>
            </w:r>
          </w:p>
        </w:tc>
      </w:tr>
    </w:tbl>
    <w:p>
      <w:pPr>
        <w:spacing w:after="0" w:line="208"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connection with the 2013 recapitalization, all of the Series Two outstanding warrants became warrants to purchase Series Five. In connection with the Company's initial public offering all of the Series Five outstanding warrants became warrants to purchase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Basic earnings per share is computed by dividing net loss available to common stockholders by the weighted-average number of common shares outstanding. Diluted earnings per share is computed by dividing net loss available to common stockholders by the weighted-average number of common shares plus the effect of dilutive potential common shares outstanding during the period.</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62" w:name="page163"/>
    <w:bookmarkEnd w:id="162"/>
    <w:p>
      <w:pPr>
        <w:jc w:val="center"/>
        <w:ind w:right="-3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 for common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center"/>
              <w:ind w:left="617"/>
              <w:spacing w:after="0"/>
              <w:rPr>
                <w:sz w:val="20"/>
                <w:szCs w:val="20"/>
                <w:color w:val="auto"/>
              </w:rPr>
            </w:pPr>
            <w:r>
              <w:rPr>
                <w:rFonts w:ascii="Arial" w:cs="Arial" w:eastAsia="Arial" w:hAnsi="Arial"/>
                <w:sz w:val="14"/>
                <w:szCs w:val="14"/>
                <w:b w:val="1"/>
                <w:bCs w:val="1"/>
                <w:color w:val="auto"/>
                <w:w w:val="86"/>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(170,447)</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(93,753)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(51,574)</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(18,249)</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color w:val="auto"/>
              </w:rPr>
              <w:t>Gain on exchange of convertible preferred stock in</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connection with recapitalization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3,391</w:t>
            </w:r>
          </w:p>
        </w:tc>
      </w:tr>
      <w:tr>
        <w:trPr>
          <w:trHeight w:val="20"/>
        </w:trPr>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(170,447)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(93,753)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(66,432)</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33,626,248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31,565,310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12,829,411</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Net loss per share:</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(5.07)*$</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r>
      <w:tr>
        <w:trPr>
          <w:trHeight w:val="20"/>
        </w:trPr>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260" w:hanging="540"/>
        <w:spacing w:after="0" w:line="268" w:lineRule="auto"/>
        <w:tabs>
          <w:tab w:leader="none" w:pos="2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years ended December 31, 2015, 2014, and 2013, the Company experienced a net loss and therefore did not report any dilutive share impact.</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shows historical dilutive common share equivalents outstanding, which are not included in the above historical calculation, as the effect of their inclusion is anti-dilutive during each period.</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As of December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4,826,477</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3,432,972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2,095,592</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344,335</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718,400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1,110,226</w:t>
            </w:r>
          </w:p>
        </w:tc>
      </w:tr>
      <w:tr>
        <w:trPr>
          <w:trHeight w:val="20"/>
        </w:trPr>
        <w:tc>
          <w:tcPr>
            <w:tcW w:w="4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5,170,812</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4,151,372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3,205,818</w:t>
            </w:r>
          </w:p>
        </w:tc>
      </w:tr>
      <w:tr>
        <w:trPr>
          <w:trHeight w:val="20"/>
        </w:trPr>
        <w:tc>
          <w:tcPr>
            <w:tcW w:w="4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award plan</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2009, the Company's shareholders approved the 2009 Equity and Long-Term Incentive Plan, which provides for the granting of stock option awards, restricted stock awards, and other stock-based and cash-based awards, subject to certain adjustments and annual increases.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March 5, 2013, the Company's Board of Directors approved the 2013 Stock Incentive Plan, which provides for the granting of stock option awards, stock appreciation rights, restricted stock,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award plan (Continued)</w:t>
      </w:r>
    </w:p>
    <w:p>
      <w:pPr>
        <w:spacing w:after="0" w:line="23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restricted stock units and other stock-based awards in the aggregate of 739,937 shares of common stock. On March 5, 2013, the Board approved a grant of 735,324 shares of restricted stock and 4,613 stock options. There are no additional shares available for issuance under this plan.</w:t>
      </w:r>
    </w:p>
    <w:p>
      <w:pPr>
        <w:spacing w:after="0" w:line="139"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May 2013, the Company's Board of Directors and stockholders increased by 2,500,000 the number of shares authorized under the 2009 Equity and Long Term Incentive Plan, which provides for the granting of stock option awards, restricted stock awards, and other stock-based and cash-based awards. There are no additional shares available for issuance under this plan.</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May 2013, the Company's Board of Directors and stockholders approved the 2013 Long Term Incentive Plan, which became effective upon the closing of the Company's IPO. The 2013 Long Term Incentive Plan provides for the grant of incentive stock options, nonstatutory stock options, restricted stock awards and other stock-based awards. The number of shares of common stock reserved for issuance under the 2013 Long Term Incentive Plan is the sum of (1) 122,296 shares of common stock available for issuance under the Company's 2009 Equity and Long Term Incentive Plan and 2013 Stock Incentive Plan, (2) the number of shares (up to 3,040,444 shares) equal to the sum of the number of shares of common stock subject to outstanding awards under the Company's 1998 Employee, Director and Consultant Stock Option Plan, 2009 Equity and Long Term Incentive Plan and 2013 Stock Incentive Plan that expire, terminate or are otherwise surrendered, cancelled, forfeited or repurchased by the Company at their original issuance price pursuant to a contractual repurchase right plus (3) an annual increase, to be added on the first day of each fiscal year until the expiration of the 2013 Long Term Incentive Plan, equal to the lowest of 2,500,000 shares of common stock, 4% of the number of shares of common stock outstanding on the first day of the fiscal year and an amount determined by the Company's Board of Directors. As of December 31, 2015, awards for 266,533 shares of common stock are available for issuance.</w:t>
      </w:r>
    </w:p>
    <w:p>
      <w:pPr>
        <w:spacing w:after="0" w:line="17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Board of Directors has the authority to select the individuals to whom options are granted and determine the terms of each option, including (i) the number of shares of common stock subject to the option; (ii) the date on which the option becomes exercisable; (iii) the option exercise price, which, in the case of incentive stock options, must be at least 100% (110% in the case of incentive stock options granted to a stockholder owning in excess of 10% of the Company's stock) of the fair market value of the common stock as of the date of grant; and (iv) the duration of the option (which, in the case of incentive stock options, may not exceed ten years). Options typically vest over a three- or four-year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Inducement stock option awards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Pursuant to the NASDAQ inducement grant exception, during the year ended December 31, 2015, the Company issued options to purchase an aggregate of 806,600 shares of common stock to certain new hire employees at a weighted-average exercise price of $50.46 per share. An aggregate of 84,150 of these options were forfeited during the year ended December 31, 2015 in connection with employee separations from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4" w:name="page165"/>
    <w:bookmarkEnd w:id="164"/>
    <w:p>
      <w:pPr>
        <w:jc w:val="center"/>
        <w:ind w:right="-17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award plan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price</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term</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2,117,113</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(63,915)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12.57</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2,095,592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1,639,996</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31.09</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(193,971)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32.91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3,432,972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2,201,800</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50.81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(656,248)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(152,047)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49.58</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4,826,477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5"/>
              </w:rPr>
              <w:t>8.38 years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auto"/>
              </w:rPr>
              <w:t>Vested or Expected to vest at December 31, 2015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3,266,769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40.14</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5"/>
              </w:rPr>
              <w:t>8.65 years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1,357,478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5"/>
              </w:rPr>
              <w:t>7.67 years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fair values of grants made in the years ended December 31, 2015, 2014 and 2013 were contemporaneously estimated on the date of grant using the following assumptions: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83"/>
              </w:rPr>
              <w:t>2015</w:t>
            </w: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83"/>
              </w:rPr>
              <w:t>2013</w:t>
            </w: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- 2.18%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- 1.90%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volatility</w:t>
            </w: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760" w:type="dxa"/>
            <w:vAlign w:val="bottom"/>
          </w:tcPr>
          <w:p>
            <w:pPr>
              <w:ind w:left="40"/>
              <w:spacing w:after="0"/>
              <w:rPr>
                <w:sz w:val="20"/>
                <w:szCs w:val="20"/>
                <w:color w:val="auto"/>
              </w:rPr>
            </w:pPr>
            <w:r>
              <w:rPr>
                <w:rFonts w:ascii="Arial" w:cs="Arial" w:eastAsia="Arial" w:hAnsi="Arial"/>
                <w:sz w:val="18"/>
                <w:szCs w:val="18"/>
                <w:color w:val="auto"/>
              </w:rPr>
              <w:t>- 69%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760" w:type="dxa"/>
            <w:vAlign w:val="bottom"/>
          </w:tcPr>
          <w:p>
            <w:pPr>
              <w:ind w:left="40"/>
              <w:spacing w:after="0"/>
              <w:rPr>
                <w:sz w:val="20"/>
                <w:szCs w:val="20"/>
                <w:color w:val="auto"/>
              </w:rPr>
            </w:pPr>
            <w:r>
              <w:rPr>
                <w:rFonts w:ascii="Arial" w:cs="Arial" w:eastAsia="Arial" w:hAnsi="Arial"/>
                <w:sz w:val="18"/>
                <w:szCs w:val="18"/>
                <w:color w:val="auto"/>
              </w:rPr>
              <w:t>- 91%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760" w:type="dxa"/>
            <w:vAlign w:val="bottom"/>
          </w:tcPr>
          <w:p>
            <w:pPr>
              <w:ind w:left="40"/>
              <w:spacing w:after="0"/>
              <w:rPr>
                <w:sz w:val="20"/>
                <w:szCs w:val="20"/>
                <w:color w:val="auto"/>
              </w:rPr>
            </w:pPr>
            <w:r>
              <w:rPr>
                <w:rFonts w:ascii="Arial" w:cs="Arial" w:eastAsia="Arial" w:hAnsi="Arial"/>
                <w:sz w:val="18"/>
                <w:szCs w:val="18"/>
                <w:color w:val="auto"/>
              </w:rPr>
              <w:t>- 89%</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5.50 - 9.12 years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5.50 - 6.25 years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6.00 - 6.25 years</w:t>
            </w:r>
          </w:p>
        </w:tc>
      </w:tr>
    </w:tbl>
    <w:p>
      <w:pPr>
        <w:spacing w:after="0" w:line="208"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Company assumed no expected dividends for all grants. The weighted average grant date fair value of options granted during the years ended December 31, 2015, 2014 and 2013 was $50.81, $22.39, and $8.23 per share, respectively.</w:t>
      </w:r>
    </w:p>
    <w:p>
      <w:pPr>
        <w:spacing w:after="0" w:line="186"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Company uses the "simplified method" to determine the expected term of options. Under this method, the expected term represents the average of the vesting period and the contractual term. The expected volatility of share options was estimated based on a historical volatility analysis of peers that were similar to the Company with respect to industry, stage of life cycle, size, and financial leverage. The risk-free rate of the option is based on U.S. Government Securities Treasury Constant Maturities yields at the date of grant for a term similar to the expected term of the option.</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65" w:name="page166"/>
    <w:bookmarkEnd w:id="165"/>
    <w:p>
      <w:pPr>
        <w:jc w:val="center"/>
        <w:ind w:right="-3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award plan (Continued)</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December 2013, the Compensation Committee of the Board of Directors modified the terms of stock options granted to executive management. Under the modified terms, the Committee waived all remaining performance conditions associated with the initial vesting of the options such that the options vest with service only conditions. The Company accounted for the modification to the option grants pursuant to ASC Topic 718-20-35 and recognized approximately $0.6 million as additional compensation that was charged to operations during the year ended December 31, 2013.</w:t>
      </w:r>
    </w:p>
    <w:p>
      <w:pPr>
        <w:spacing w:after="0" w:line="16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2014, the Company modified the terms of stock options granted to a departing member of the executive team. The Company accounted for the modification to the option grants pursuant to ASC Topic 718-20-35 and recognized approximately $1.9 million as additional compensation that was charged to operations during the year ended December 31, 2014.</w:t>
      </w:r>
    </w:p>
    <w:p>
      <w:pPr>
        <w:spacing w:after="0" w:line="19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—Restricted stock awards are granted subject to certain restrictions, including in some cases service conditions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grant-date fair value of restricted stock awards, which has been determined based upon the market value of the Company's shares on the grant date, is expensed over the vesting period.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on the Company's restricted stock:</w:t>
      </w:r>
    </w:p>
    <w:p>
      <w:pPr>
        <w:spacing w:after="0" w:line="275"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0</wp:posOffset>
            </wp:positionV>
            <wp:extent cx="10547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8920"/>
        <w:spacing w:after="0"/>
        <w:rPr>
          <w:sz w:val="20"/>
          <w:szCs w:val="20"/>
          <w:color w:val="auto"/>
        </w:rPr>
      </w:pPr>
      <w:r>
        <w:rPr>
          <w:rFonts w:ascii="Arial" w:cs="Arial" w:eastAsia="Arial" w:hAnsi="Arial"/>
          <w:sz w:val="14"/>
          <w:szCs w:val="14"/>
          <w:b w:val="1"/>
          <w:bCs w:val="1"/>
          <w:color w:val="auto"/>
        </w:rPr>
        <w:t>Weighted</w:t>
      </w:r>
    </w:p>
    <w:p>
      <w:pPr>
        <w:jc w:val="center"/>
        <w:ind w:left="6940"/>
        <w:spacing w:after="0" w:line="221" w:lineRule="auto"/>
        <w:rPr>
          <w:sz w:val="20"/>
          <w:szCs w:val="20"/>
          <w:color w:val="auto"/>
        </w:rPr>
      </w:pPr>
      <w:r>
        <w:rPr>
          <w:rFonts w:ascii="Arial" w:cs="Arial" w:eastAsia="Arial" w:hAnsi="Arial"/>
          <w:sz w:val="14"/>
          <w:szCs w:val="14"/>
          <w:b w:val="1"/>
          <w:bCs w:val="1"/>
          <w:color w:val="auto"/>
        </w:rPr>
        <w:t>Average</w:t>
      </w:r>
    </w:p>
    <w:p>
      <w:pPr>
        <w:jc w:val="center"/>
        <w:ind w:left="6940"/>
        <w:spacing w:after="0" w:line="221" w:lineRule="auto"/>
        <w:rPr>
          <w:sz w:val="20"/>
          <w:szCs w:val="20"/>
          <w:color w:val="auto"/>
        </w:rPr>
      </w:pPr>
      <w:r>
        <w:rPr>
          <w:rFonts w:ascii="Arial" w:cs="Arial" w:eastAsia="Arial" w:hAnsi="Arial"/>
          <w:sz w:val="14"/>
          <w:szCs w:val="14"/>
          <w:b w:val="1"/>
          <w:bCs w:val="1"/>
          <w:color w:val="auto"/>
        </w:rPr>
        <w:t>Grant</w:t>
      </w:r>
    </w:p>
    <w:p>
      <w:pPr>
        <w:ind w:left="7960"/>
        <w:spacing w:after="0"/>
        <w:tabs>
          <w:tab w:leader="none" w:pos="8880" w:val="left"/>
        </w:tabs>
        <w:rPr>
          <w:sz w:val="20"/>
          <w:szCs w:val="20"/>
          <w:color w:val="auto"/>
        </w:rPr>
      </w:pPr>
      <w:r>
        <w:rPr>
          <w:rFonts w:ascii="Arial" w:cs="Arial" w:eastAsia="Arial" w:hAnsi="Arial"/>
          <w:sz w:val="14"/>
          <w:szCs w:val="14"/>
          <w:b w:val="1"/>
          <w:bCs w:val="1"/>
          <w:color w:val="auto"/>
        </w:rPr>
        <w:t>Number of</w:t>
      </w:r>
      <w:r>
        <w:rPr>
          <w:sz w:val="20"/>
          <w:szCs w:val="20"/>
          <w:color w:val="auto"/>
        </w:rPr>
        <w:tab/>
      </w:r>
      <w:r>
        <w:rPr>
          <w:rFonts w:ascii="Arial" w:cs="Arial" w:eastAsia="Arial" w:hAnsi="Arial"/>
          <w:sz w:val="12"/>
          <w:szCs w:val="12"/>
          <w:b w:val="1"/>
          <w:bCs w:val="1"/>
          <w:color w:val="auto"/>
        </w:rPr>
        <w:t>Date Fair</w:t>
      </w:r>
    </w:p>
    <w:p>
      <w:pPr>
        <w:ind w:left="8080"/>
        <w:spacing w:after="0" w:line="220" w:lineRule="auto"/>
        <w:tabs>
          <w:tab w:leader="none" w:pos="900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Value</w:t>
      </w:r>
    </w:p>
    <w:p>
      <w:pPr>
        <w:spacing w:after="0" w:line="20" w:lineRule="exact"/>
        <w:rPr>
          <w:sz w:val="20"/>
          <w:szCs w:val="20"/>
          <w:color w:val="auto"/>
        </w:rPr>
      </w:pPr>
    </w:p>
    <w:tbl>
      <w:tblPr>
        <w:tblLayout w:type="fixed"/>
        <w:tblInd w:w="360" w:type="dxa"/>
        <w:tblCellMar>
          <w:top w:w="0" w:type="dxa"/>
          <w:left w:w="0" w:type="dxa"/>
          <w:bottom w:w="0" w:type="dxa"/>
          <w:right w:w="0" w:type="dxa"/>
        </w:tblCellMar>
      </w:tblPr>
      <w:tr>
        <w:trPr>
          <w:trHeight w:val="20"/>
        </w:trPr>
        <w:tc>
          <w:tcPr>
            <w:tcW w:w="13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60" w:type="dxa"/>
            <w:vAlign w:val="bottom"/>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January 1, 2015</w:t>
            </w:r>
          </w:p>
        </w:tc>
        <w:tc>
          <w:tcPr>
            <w:tcW w:w="1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718,400</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(361,919)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(12,146)</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2015</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344,335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0"/>
        </w:trPr>
        <w:tc>
          <w:tcPr>
            <w:tcW w:w="68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40" w:type="dxa"/>
            <w:vAlign w:val="bottom"/>
            <w:gridSpan w:val="5"/>
          </w:tcPr>
          <w:p>
            <w:pPr>
              <w:spacing w:after="0"/>
              <w:rPr>
                <w:sz w:val="20"/>
                <w:szCs w:val="20"/>
                <w:color w:val="auto"/>
              </w:rPr>
            </w:pPr>
            <w:r>
              <w:rPr>
                <w:rFonts w:ascii="Arial" w:cs="Arial" w:eastAsia="Arial" w:hAnsi="Arial"/>
                <w:sz w:val="18"/>
                <w:szCs w:val="18"/>
                <w:color w:val="auto"/>
                <w:w w:val="91"/>
              </w:rPr>
              <w:t>The Company recorded share-based compensation expense in the statement of operations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16,138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79"/>
              </w:rPr>
              <w:t>17,841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9,571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33,979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19,310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of December 31, 2015, there was approximately $73.8 million of total unrecognized compensation cost related to unvested share-based compensation arrangements granted under the Company's Plans. This cost is expected to be recognized as compensation expense over the weighted average remaining service period of approximately 2.74 years.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6" w:name="page167"/>
    <w:bookmarkEnd w:id="166"/>
    <w:p>
      <w:pPr>
        <w:jc w:val="center"/>
        <w:ind w:right="-3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comprehensive income (loss) and accumulated other comprehensive items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Other comprehensive income (loss) includes changes in equity that are excluded from net loss, such as unrealized gains and losses on marketable securities.</w:t>
      </w:r>
    </w:p>
    <w:p>
      <w:pPr>
        <w:spacing w:after="0" w:line="26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summarizes other comprehensive income (loss) and the changes in accumulated other comprehensive items, by component, for the years ended December 31, 2015, 2014, and 2013, respectively.</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Gains/(Losses)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Accumulated</w:t>
            </w:r>
          </w:p>
        </w:tc>
      </w:tr>
      <w:tr>
        <w:trPr>
          <w:trHeight w:val="149"/>
        </w:trPr>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Foreign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Marketable</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Currency</w:t>
            </w:r>
          </w:p>
        </w:tc>
        <w:tc>
          <w:tcPr>
            <w:tcW w:w="6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4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Translation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Items</w:t>
            </w:r>
          </w:p>
        </w:tc>
        <w:tc>
          <w:tcPr>
            <w:tcW w:w="160" w:type="dxa"/>
            <w:vAlign w:val="bottom"/>
          </w:tcPr>
          <w:p>
            <w:pPr>
              <w:spacing w:after="0"/>
              <w:rPr>
                <w:sz w:val="14"/>
                <w:szCs w:val="14"/>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w w:val="95"/>
              </w:rPr>
              <w:t>Other comprehensive income before reclassifications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r>
        <w:trPr>
          <w:trHeight w:val="208"/>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other comprehensive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2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r>
      <w:tr>
        <w:trPr>
          <w:trHeight w:val="210"/>
        </w:trPr>
        <w:tc>
          <w:tcPr>
            <w:tcW w:w="424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r>
      <w:tr>
        <w:trPr>
          <w:trHeight w:val="208"/>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other comprehensive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2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r>
      <w:tr>
        <w:trPr>
          <w:trHeight w:val="210"/>
        </w:trPr>
        <w:tc>
          <w:tcPr>
            <w:tcW w:w="424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r>
      <w:tr>
        <w:trPr>
          <w:trHeight w:val="208"/>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other comprehensive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items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2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0"/>
        </w:trPr>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Collaborations and grants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has ongoing collaborations with the Spinal Muscular Atrophy Foundation (SMA Foundation) and F. Hoffman-La Roche Ltd and Hoffman- La Roche Inc. (collectively, Roche) and early stage discovery arrangements with other institutions. The following are the key terms to the Company's (i) ongoing collaborations and (ii) early stage discovery and development arrangements.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Collaborations and grants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SMA Foundation</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November 2011, the Company and the SMA Foundation entered into a licensing and collaboration agreement with Roche for a spinal muscular atrophy program. Under the terms of the agreement, Roche acquired an exclusive worldwide license to the Company's spinal muscular atrophy program, which includes three compounds currently in preclinical development, as well as potential back-up compounds. The Company received a nonrefundable upfront cash payment of $30.0 million during the research term, which was terminated effective December 31, 2014, Roche provided us with funding, based on an agreed- upon full-time equivalent rate, for an agreed-upon number of full- time equivalent employees that we contributed to the research program.</w:t>
      </w:r>
    </w:p>
    <w:p>
      <w:pPr>
        <w:spacing w:after="0" w:line="170"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Company applied the multiple element revenue recognition guidance in evaluating the accounting treatment of this collaboration agreement. The Company identified two possible significant deliverables in the collaboration agreement, the license and the research activities. The Company evaluated whether these significant deliverables have stand-alone value and determined that the license does not have standalone value without the ongoing research and development services given the unique nature of the technology. As such, both of these elements were combined as a single unit for accounting purposes. As a result, the Company deferred the $30.0 million upfront payment which was recognized over the estimated performance period of two years, which was the contracted research period. For the years ended December 31, 2015, 2014 and 2013, the Company recognized approximately $0.6 million, $20.2 million and $26.6 million respectively, in collaboration revenue. The balance of the remaining deferred upfront payment was fully recognized as of December 31, 2013.</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agreement, the Company is eligible to receive additional payments from Roche if specified events are achieved with respect to each licensed product, including up to $135.0 million in research and development event milestones, up to $325.0 million in sales milestones upon achievement of sales events, and up to double digit royalties on worldwide annual net sales of a commercial product.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considers that each of the potential milestone events under the agreement would be substantive because the applicable criteria of its revenue recognition policy (see Note 2) would be satisfied.</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January 2014, the Company announced the initiation of a Phase 1 clinical program in its spinal muscular atrophy collaboration with Roche and the SMA Foundation which triggered a $7.5 million milestone payment from Roche. The Company considered this milestone event substantive because the applicable criteria of its revenue recognition policy would be satisfied and recorded it as collaboration revenue for the year ended December 31, 2014.</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November 2014, the Company announced the initiation of a Phase 2 study in adult and pediatric patients in its spinal muscular atrophy collaboration with Roche and the SMA Foundation which triggered a $10 million payment from Roche. The Company considered this milestone event substantive because the applicable criteria of its revenue recognition policy would be satisfied and recorded it as collaboration revenue for the year ended December 31, 2014.</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68" w:name="page169"/>
    <w:bookmarkEnd w:id="168"/>
    <w:p>
      <w:pPr>
        <w:jc w:val="center"/>
        <w:ind w:right="-1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Collaborations and grants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stage collaboration and discovery agreements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From time to time, the Company has arrangements with several organizations pursuant to which the Company uses its discovery technologies to help identify potential drug candidates. The Company does not take ownership of the potential compounds, but rather provides research services to the collaborator using its specialized technology platform.</w:t>
      </w:r>
    </w:p>
    <w:p>
      <w:pPr>
        <w:spacing w:after="0" w:line="194"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Generally, these arrangements are structured such that the collaborator and the Company work together to jointly select targets from which to apply its discovery technologies. The research period for the Company to apply its technology is generally three to four years. The Company will typically receive a nonrefundable, upfront cash payment and the collaborator agrees to provide funding for research activities performed on its behalf.</w:t>
      </w:r>
    </w:p>
    <w:p>
      <w:pPr>
        <w:spacing w:after="0" w:line="16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applies multiple element revenue recognition guidance in evaluating the accounting treatment for these arrangements. Generally, the two significant deliverables in these arrangements are the license and the research activities. The Company evaluates whether the deliverables have standalone value. Since the Company's discovery technologies are highly specialized, the Company has generally determined that the license does not have standalone value without the ongoing research and development services and generally accounts for these arrangements as a single unit of accounting.</w:t>
      </w:r>
    </w:p>
    <w:p>
      <w:pPr>
        <w:spacing w:after="0" w:line="167"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a result, the Company had deferred revenue of $1.8 million as of December 31, 2014 related to these arrangements. There was no deferred revenue related to these arrangements as of December 31, 2015. For the years ended December 31, 2015 and 2014, the Company recognized approximately $1.8 million and $1.3 million in collaboration revenue,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is eligible to receive additional payments from its early stage discovery research arrangements if the discovery compounds are ultimately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developed and commercialized. The aggregate potential payments the Company is eligible for if all products are developed is $143.0 million and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$252.0 million in sales milestones upon achievement of specified sales events and up to double digit royalties on worldwide annual net sales of the licensed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w:t>
      </w:r>
    </w:p>
    <w:p>
      <w:pPr>
        <w:spacing w:after="0" w:line="21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considers that each of the potential milestone events under the agreement would be substantive because the applicable criteria of its revenue recognition policy (see Note 2) would be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revenue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receives grant funding from various institutions and governmental bodies. The grants are typically for early discovery research, and typically the grant program lasts from two to five years. The Company records revenue as the research activities are performed. If the granting agency provides for an upfront payment, the amount is deferred and recognized as revenue as the expenditures are incurred.</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ind w:right="740" w:firstLine="351"/>
        <w:spacing w:after="0" w:line="259" w:lineRule="auto"/>
        <w:rPr>
          <w:sz w:val="20"/>
          <w:szCs w:val="20"/>
          <w:color w:val="auto"/>
        </w:rPr>
      </w:pPr>
      <w:r>
        <w:rPr>
          <w:rFonts w:ascii="Arial" w:cs="Arial" w:eastAsia="Arial" w:hAnsi="Arial"/>
          <w:sz w:val="18"/>
          <w:szCs w:val="18"/>
          <w:color w:val="auto"/>
        </w:rPr>
        <w:t>For the years ended December 31, 2015 and 2014, the loss from operations before tax (expense) benefit in the United States was $51.0 million and $46.5 million, respectively. For the years ended December 31, 2015 and 2014, the loss from operations before tax (expense) benefit in Non-US was $119.0 million and $52.0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Income Tax Provision consisted of the following for the years ended December 31, 2015 and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Federal</w:t>
            </w: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U.S. State and Local</w:t>
            </w: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Foreign</w:t>
            </w: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920" w:type="dxa"/>
            <w:vAlign w:val="bottom"/>
            <w:tcBorders>
              <w:right w:val="single" w:sz="8" w:color="CCEEFF"/>
            </w:tcBorders>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300" w:type="dxa"/>
            <w:vAlign w:val="bottom"/>
            <w:gridSpan w:val="6"/>
          </w:tcPr>
          <w:p>
            <w:pPr>
              <w:jc w:val="right"/>
              <w:ind w:right="692"/>
              <w:spacing w:after="0"/>
              <w:rPr>
                <w:sz w:val="20"/>
                <w:szCs w:val="20"/>
                <w:color w:val="auto"/>
              </w:rPr>
            </w:pPr>
            <w:r>
              <w:rPr>
                <w:rFonts w:ascii="Arial" w:cs="Arial" w:eastAsia="Arial" w:hAnsi="Arial"/>
                <w:sz w:val="18"/>
                <w:szCs w:val="18"/>
                <w:color w:val="auto"/>
                <w:w w:val="93"/>
              </w:rPr>
              <w:t>A reconciliation of the U.S. statutory income tax rate to the Company's effective tax rate is as follows: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9"/>
              </w:rPr>
              <w:t>Federal income tax (benefit) at statutory rate</w:t>
            </w:r>
          </w:p>
        </w:tc>
        <w:tc>
          <w:tcPr>
            <w:tcW w:w="2920" w:type="dxa"/>
            <w:vAlign w:val="bottom"/>
            <w:tcBorders>
              <w:right w:val="single" w:sz="8" w:color="CCEEFF"/>
            </w:tcBorders>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34.00%</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6"/>
              </w:rPr>
              <w:t>State income tax benefit, net of federal benefit</w:t>
            </w:r>
          </w:p>
        </w:tc>
        <w:tc>
          <w:tcPr>
            <w:tcW w:w="2920" w:type="dxa"/>
            <w:vAlign w:val="bottom"/>
            <w:gridSpan w:val="3"/>
          </w:tcPr>
          <w:p>
            <w:pPr>
              <w:jc w:val="right"/>
              <w:ind w:right="29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2920" w:type="dxa"/>
            <w:vAlign w:val="bottom"/>
            <w:tcBorders>
              <w:right w:val="single" w:sz="8" w:color="CCEEFF"/>
            </w:tcBorders>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NOL IRC Section 382 Limitations</w:t>
            </w:r>
          </w:p>
        </w:tc>
        <w:tc>
          <w:tcPr>
            <w:tcW w:w="1920" w:type="dxa"/>
            <w:vAlign w:val="bottom"/>
          </w:tcPr>
          <w:p>
            <w:pPr>
              <w:spacing w:after="0"/>
              <w:rPr>
                <w:sz w:val="18"/>
                <w:szCs w:val="18"/>
                <w:color w:val="auto"/>
              </w:rPr>
            </w:pPr>
          </w:p>
        </w:tc>
        <w:tc>
          <w:tcPr>
            <w:tcW w:w="1100" w:type="dxa"/>
            <w:vAlign w:val="bottom"/>
            <w:gridSpan w:val="3"/>
          </w:tcPr>
          <w:p>
            <w:pPr>
              <w:jc w:val="right"/>
              <w:ind w:right="43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(21.53)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Borders>
              <w:lef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Increase to valuation allowance</w:t>
            </w:r>
          </w:p>
        </w:tc>
        <w:tc>
          <w:tcPr>
            <w:tcW w:w="2920" w:type="dxa"/>
            <w:vAlign w:val="bottom"/>
            <w:gridSpan w:val="3"/>
          </w:tcPr>
          <w:p>
            <w:pPr>
              <w:jc w:val="right"/>
              <w:ind w:right="292"/>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(49.63)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2920" w:type="dxa"/>
            <w:vAlign w:val="bottom"/>
            <w:tcBorders>
              <w:right w:val="single" w:sz="8" w:color="CCEEFF"/>
            </w:tcBorders>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(18.14)</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9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20" w:type="dxa"/>
            <w:vAlign w:val="bottom"/>
          </w:tcPr>
          <w:p>
            <w:pPr>
              <w:jc w:val="right"/>
              <w:ind w:right="1272"/>
              <w:spacing w:after="0"/>
              <w:rPr>
                <w:sz w:val="20"/>
                <w:szCs w:val="20"/>
                <w:color w:val="auto"/>
              </w:rPr>
            </w:pPr>
            <w:r>
              <w:rPr>
                <w:rFonts w:ascii="Arial" w:cs="Arial" w:eastAsia="Arial" w:hAnsi="Arial"/>
                <w:sz w:val="18"/>
                <w:szCs w:val="18"/>
                <w:color w:val="auto"/>
              </w:rPr>
              <w:t>167</w:t>
            </w: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significant components of the Company's deferred tax assets and liabilities at December 31, 2015 and 2014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Accrued Expense</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2,268</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Federal tax credits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50,850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17,807</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tax credits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Federal net operating 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75,200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76,933</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net operating losses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9,185</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Capitalized research and development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10,585</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3,852</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161,052</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123,283</w:t>
            </w:r>
          </w:p>
        </w:tc>
        <w:tc>
          <w:tcPr>
            <w:tcW w:w="16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(139,584)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(123,283)</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Convertible debt</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(21,468)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(21,468)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At December 31, 2015 and 2014, the Company recorded a full valuation allowance against its net deferred tax assets of approximately $139.6 million and $123.3 million, respectively. The change in the valuation allowance during the years ended December 31, 2015 and 2014 was approximately $16.3 million and $9.2 million, respectively. A full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 As of December 31, 2015, the Company has approximately $270.4 million and $198.1 million of federal and state net operating loss carryforwards, respectively.</w:t>
      </w:r>
    </w:p>
    <w:p>
      <w:pPr>
        <w:spacing w:after="0" w:line="174" w:lineRule="exact"/>
        <w:rPr>
          <w:sz w:val="20"/>
          <w:szCs w:val="20"/>
          <w:color w:val="auto"/>
        </w:rPr>
      </w:pPr>
    </w:p>
    <w:p>
      <w:pPr>
        <w:ind w:right="180" w:firstLine="341"/>
        <w:spacing w:after="0" w:line="298" w:lineRule="auto"/>
        <w:rPr>
          <w:sz w:val="20"/>
          <w:szCs w:val="20"/>
          <w:color w:val="auto"/>
        </w:rPr>
      </w:pPr>
      <w:r>
        <w:rPr>
          <w:rFonts w:ascii="Arial" w:cs="Arial" w:eastAsia="Arial" w:hAnsi="Arial"/>
          <w:sz w:val="16"/>
          <w:szCs w:val="16"/>
          <w:color w:val="auto"/>
        </w:rPr>
        <w:t>As a result of realization requirements of the guidance issued by the FASB, certain deferred tax assets that arose directly from tax deductions related to equity compensation in excess of compensation recognized for financial reporting are excluded from the total deferred tax assets. As of December 31, 2015, approximately $49.2 million of the federal net operating loss carryforwards are related to the exercise of employee stock options and vesting of restricted stock, and the Company will record a tax benefit of approximately of $16.7 million through capital in excess of par value if such losses are realized.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1" w:name="page172"/>
    <w:bookmarkEnd w:id="171"/>
    <w:p>
      <w:pPr>
        <w:jc w:val="center"/>
        <w:ind w:right="-5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of December 31, 2015, research and development credit carryforwards for federal and state purposes are approximately $11.0 million and $4.8 million, respectively. In addition, the Orphan Drug Credit Carryover available as of December 31, 2015 is approximately $39.8 million. The federal net operating loss carryforwards begin to expire in 2021, while the federal credit carryforwards begin to expire in 2019. State net operating loss carryforwards begin to expire in 2030, and the state credit carryforwards begin to expire in 2016. Sections 382 and 383 of the Internal Revenue Code of 1986 subject the future utilization of net operating losses and certain other tax attributes, such as research and development tax credits, to an annual limitation in the event of certain ownership changes, as defined. The Company has undergone an ownership change and has determined that a "change in ownership" as defined by IRC Section 382 of the Internal Revenue Code of 1986, as amended, and the rules and regulations promulgated thereunder, did occur in June of 2013. Accordingly, about $231.5 million of the Company's NOL carryforwards are limited and the Company can only use $16.7 million for the first five years from the ownership change and $5.7 million per year going forward. Therefore, $169.2 million of the NOL's will be freed up over the next 20 years and $62.3 million are expected to expire unused which are not included in the deferred tax assets listed above. In summary, there are $270.4 million of NOLs available, out of which $169.2 million are limited by IRC Section 382. At December 31, 2015, there is $142.9 million available for immediate use and an additional $16.7 million will free up in 2016.</w:t>
      </w:r>
    </w:p>
    <w:p>
      <w:pPr>
        <w:spacing w:after="0" w:line="18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income tax expense and benefit for the years ended December 31, 2015 and 2014 differed from the amounts computed by applying the U.S. federal income tax rate of 34% to loss before tax expense and benefit as a result of foreign taxes, nondeductible expenses, tax credits generated, true up of net operating loss carryforwards, and increases in the Company's valuation allowance. The Company applies the elements of FASB ASC 740-10 regarding accounting for uncertainty in income taxes. This clarifies the accounting for uncertainty in income taxes recognized in financial statements and required impact of a tax position to be recognized in the financial statements if that position is more likely than not of being sustained by the taxing authority. As of December 31, 2015 the company did not have any unrecognized tax benefits and has not accrued any interest or penalties through 2015. The Company does not expect to have any unrecognized tax benefits within the next twelve months. The Company's policy is to recognize interest and penalties related to tax matters within the income tax provision. Tax years beginning in 2012 are generally subject to examination by taxing authorities, although net operating losses from all years are subject to examinations and adjustments for at least three years following the year in which the attributes are used.</w:t>
      </w:r>
    </w:p>
    <w:p>
      <w:pPr>
        <w:spacing w:after="0" w:line="17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For all years through December 31, 2015,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2" w:name="page173"/>
    <w:bookmarkEnd w:id="172"/>
    <w:p>
      <w:pPr>
        <w:jc w:val="center"/>
        <w:ind w:right="-5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right="8680" w:firstLine="8"/>
        <w:spacing w:after="0" w:line="567" w:lineRule="auto"/>
        <w:tabs>
          <w:tab w:leader="none" w:pos="263"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Operating leases</w:t>
      </w:r>
    </w:p>
    <w:p>
      <w:pPr>
        <w:spacing w:after="0" w:line="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leases office space under a noncancelable operating lease through February 2019. Rent expense was approximately $1.8 million, $0.9 million, and $0.7 million for the years ended December 31, 2015, 2014, and 2013, respectively. The Company also leases certain office equipment under operating leases. Future minimum lease payments as of December 31, 2015 are as follows: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1,529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2017</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966</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1,035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2019</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Thereafter</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3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3,706</w:t>
            </w:r>
          </w:p>
        </w:tc>
      </w:tr>
      <w:tr>
        <w:trPr>
          <w:trHeight w:val="20"/>
        </w:trPr>
        <w:tc>
          <w:tcPr>
            <w:tcW w:w="3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231"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Under various agreements, the Company will be required to pay royalties and milestone payments upon the successful development and commercialization of products. The Company has entered into funding agreements with The Wellcome Trust Limited (Wellcome Trust) for the research and development of small molecule compounds. To the extent that the Company develops and commercializes program intellectual property on a for-profit basis, it may become obligated to pay to Wellcome Trust development and regulatory milestone payments of up to an aggregate of $68.9 million and single-digit royalties on sales of any research program product. The Company's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The Company's first such milestone payment of $0.8 million payable to Wellcome Trust is expected to occur in the second quarter of 2016.</w:t>
      </w:r>
    </w:p>
    <w:p>
      <w:pPr>
        <w:spacing w:after="0" w:line="159"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has also entered into a collaboration agreement with the SMA Foundation. The Company may become obligated to pay the SMA Foundation single- digit royalties on worldwide net product sales of any collaboration product that we successfully develop and subsequently commercialize or, if we outlicense rights to a collaboration product, a specified percentage of certain payments we receive from our licensee. The Company is not obligated to make such payments unless and until annual sales of a collaboration product exceed a designated threshold. The Company's obligation to make such payments would end upon our payment to the SMA Foundation of a specified amount.</w:t>
      </w:r>
    </w:p>
    <w:p>
      <w:pPr>
        <w:spacing w:after="0" w:line="170"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has employment agreements with certain employees which require the funding of a specific level of payments, if certain events, such as a change in control or termination without cause, occur.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73" w:name="page174"/>
    <w:bookmarkEnd w:id="173"/>
    <w:p>
      <w:pPr>
        <w:jc w:val="center"/>
        <w:ind w:right="-3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information</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Company views its operations and manages its business in one operating segment. The following table presents financial information based on the geographic location of the facilities of the Company as of and for the years ended:</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11"/>
          </w:tcPr>
          <w:p>
            <w:pPr>
              <w:jc w:val="right"/>
              <w:ind w:right="660"/>
              <w:spacing w:after="0"/>
              <w:rPr>
                <w:sz w:val="20"/>
                <w:szCs w:val="20"/>
                <w:color w:val="auto"/>
              </w:rPr>
            </w:pPr>
            <w:r>
              <w:rPr>
                <w:rFonts w:ascii="Arial" w:cs="Arial" w:eastAsia="Arial" w:hAnsi="Arial"/>
                <w:sz w:val="14"/>
                <w:szCs w:val="14"/>
                <w:b w:val="1"/>
                <w:bCs w:val="1"/>
                <w:color w:val="auto"/>
              </w:rPr>
              <w:t>Year ended December 31, 2015</w:t>
            </w:r>
          </w:p>
        </w:tc>
      </w:tr>
      <w:tr>
        <w:trPr>
          <w:trHeight w:val="142"/>
        </w:trPr>
        <w:tc>
          <w:tcPr>
            <w:tcW w:w="50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United States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93"/>
              </w:rPr>
              <w:t>Non-US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343,515</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24,526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368,041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8,206</w:t>
            </w:r>
          </w:p>
        </w:tc>
        <w:tc>
          <w:tcPr>
            <w:tcW w:w="80" w:type="dxa"/>
            <w:vAlign w:val="bottom"/>
          </w:tcPr>
          <w:p>
            <w:pPr>
              <w:spacing w:after="0"/>
              <w:rPr>
                <w:sz w:val="18"/>
                <w:szCs w:val="18"/>
                <w:color w:val="auto"/>
              </w:rPr>
            </w:pPr>
          </w:p>
        </w:tc>
        <w:tc>
          <w:tcPr>
            <w:tcW w:w="2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8,974</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31,548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36,766</w:t>
            </w:r>
          </w:p>
        </w:tc>
      </w:tr>
      <w:tr>
        <w:trPr>
          <w:trHeight w:val="851"/>
        </w:trPr>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11"/>
          </w:tcPr>
          <w:p>
            <w:pPr>
              <w:jc w:val="right"/>
              <w:ind w:right="620"/>
              <w:spacing w:after="0"/>
              <w:rPr>
                <w:sz w:val="20"/>
                <w:szCs w:val="20"/>
                <w:color w:val="auto"/>
              </w:rPr>
            </w:pPr>
            <w:r>
              <w:rPr>
                <w:rFonts w:ascii="Arial" w:cs="Arial" w:eastAsia="Arial" w:hAnsi="Arial"/>
                <w:sz w:val="14"/>
                <w:szCs w:val="14"/>
                <w:b w:val="1"/>
                <w:bCs w:val="1"/>
                <w:color w:val="auto"/>
              </w:rPr>
              <w:t>Year ended December 31, 2014</w:t>
            </w:r>
          </w:p>
        </w:tc>
      </w:tr>
      <w:tr>
        <w:trPr>
          <w:trHeight w:val="142"/>
        </w:trPr>
        <w:tc>
          <w:tcPr>
            <w:tcW w:w="5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4"/>
              </w:rPr>
              <w:t>United States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Non-US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330,663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333,219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8,555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604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9,159</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401(k) plan</w:t>
      </w:r>
    </w:p>
    <w:p>
      <w:pPr>
        <w:spacing w:after="0" w:line="231" w:lineRule="exact"/>
        <w:rPr>
          <w:sz w:val="20"/>
          <w:szCs w:val="20"/>
          <w:color w:val="auto"/>
        </w:rPr>
      </w:pPr>
    </w:p>
    <w:p>
      <w:pPr>
        <w:ind w:right="440" w:firstLine="348"/>
        <w:spacing w:after="0" w:line="298" w:lineRule="auto"/>
        <w:rPr>
          <w:sz w:val="20"/>
          <w:szCs w:val="20"/>
          <w:color w:val="auto"/>
        </w:rPr>
      </w:pPr>
      <w:r>
        <w:rPr>
          <w:rFonts w:ascii="Arial" w:cs="Arial" w:eastAsia="Arial" w:hAnsi="Arial"/>
          <w:sz w:val="16"/>
          <w:szCs w:val="16"/>
          <w:color w:val="auto"/>
        </w:rPr>
        <w:t>The Company maintains a 401(k) plan for its employees. Employee contributions are voluntary. The Company may match employee contributions in amounts to be determined at the Company's sole discretion. The Company provides a 50% matching contribution for up to the first 6% of each contributing employee's base salary contributions. The Company made matching contributions to the 401(k) plan and recorded expense of approximately $0.7 million, $0.3 million and $0.1 million for the years ended December 31, 2015, 2014 and 2013,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February 22, 2016, the Company received a Refuse to File letter from the United States Food and Drug Administration, or FDA. The letter stated that the New Drug Application, or NDA, submitted by the Company in December 2015 for Translarna for the treatment of nonsense mutation Duchenne muscular dystrophy was not sufficiently complete to permit a substantive review. The Company intends to engage in dialogue with the FDA to discuss and clarify the matters set forth in the letter and determine our best path forward.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February 29, 2016, the Company announced that the Company expects to delist Translarna from the German pharmacy ordering system.</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4" w:name="page175"/>
    <w:bookmarkEnd w:id="174"/>
    <w:p>
      <w:pPr>
        <w:jc w:val="center"/>
        <w:ind w:right="-7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2015</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a fair statement of the results of the interim periods. Summarized quarterly data for 2015 and 2014 are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9"/>
              </w:rPr>
              <w:t>For the quarters ending</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8"/>
              </w:rPr>
              <w:t>March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8"/>
              </w:rPr>
              <w:t>June 30</w:t>
            </w:r>
          </w:p>
        </w:tc>
        <w:tc>
          <w:tcPr>
            <w:tcW w:w="60" w:type="dxa"/>
            <w:vAlign w:val="bottom"/>
          </w:tcPr>
          <w:p>
            <w:pPr>
              <w:spacing w:after="0"/>
              <w:rPr>
                <w:sz w:val="12"/>
                <w:szCs w:val="12"/>
                <w:color w:val="auto"/>
              </w:rPr>
            </w:pPr>
          </w:p>
        </w:tc>
        <w:tc>
          <w:tcPr>
            <w:tcW w:w="10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3"/>
              </w:rPr>
              <w:t>September 30</w:t>
            </w:r>
          </w:p>
        </w:tc>
        <w:tc>
          <w:tcPr>
            <w:tcW w:w="6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Net product revenue</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18"/>
                <w:szCs w:val="18"/>
                <w:color w:val="auto"/>
              </w:rPr>
            </w:pPr>
          </w:p>
        </w:tc>
        <w:tc>
          <w:tcPr>
            <w:tcW w:w="3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9,772</w:t>
            </w:r>
          </w:p>
        </w:tc>
        <w:tc>
          <w:tcPr>
            <w:tcW w:w="100" w:type="dxa"/>
            <w:vAlign w:val="bottom"/>
          </w:tcPr>
          <w:p>
            <w:pPr>
              <w:spacing w:after="0"/>
              <w:rPr>
                <w:sz w:val="18"/>
                <w:szCs w:val="18"/>
                <w:color w:val="auto"/>
              </w:rPr>
            </w:pP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12,694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and grant revenue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60,935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(38,626)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(42,232)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(48,201)</w:t>
            </w: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(37,915)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(38,361)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(43,223)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(50,948)</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common share(1)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3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product revenue</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Collaboration and grant revenue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(14,212)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(25,369)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(27,601)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(32,230)</w:t>
            </w: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(25,104)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(27,282)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(27,269)</w:t>
            </w:r>
          </w:p>
        </w:tc>
      </w:tr>
      <w:tr>
        <w:trPr>
          <w:trHeight w:val="222"/>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Basic and diluted net loss per common share(1)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(0.58)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(0.86)</w:t>
            </w:r>
          </w:p>
        </w:tc>
        <w:tc>
          <w:tcPr>
            <w:tcW w:w="3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5580" w:right="1040" w:hanging="4431"/>
        <w:spacing w:after="0" w:line="519" w:lineRule="auto"/>
        <w:tabs>
          <w:tab w:leader="none" w:pos="16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were computed independently for each quarter and the sum of the quarters may not total the annual amounts. 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firstLine="351"/>
        <w:spacing w:after="0" w:line="307" w:lineRule="auto"/>
        <w:rPr>
          <w:sz w:val="20"/>
          <w:szCs w:val="20"/>
          <w:color w:val="auto"/>
        </w:rPr>
      </w:pPr>
      <w:r>
        <w:rPr>
          <w:rFonts w:ascii="Arial" w:cs="Arial" w:eastAsia="Arial" w:hAnsi="Arial"/>
          <w:sz w:val="15"/>
          <w:szCs w:val="15"/>
          <w:color w:val="auto"/>
        </w:rPr>
        <w:t>Our management, with the participation of our Chief Executive Officer (principal executive officer) and Chief Financial Officer (principal financial officer), evaluated the effectiveness of our disclosure controls and procedures as of December 31, 2015.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2015,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74"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2"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 xml:space="preserve">Our management, with the participation of our Chief Executive Officer (principal executive officer) and Chief Financial Officer (principal financial officer), assessed the effectiveness of our internal control over financial reporting as of December 31, 2015. In making this assessment, our management used the criteria set forth in the </w:t>
      </w:r>
      <w:r>
        <w:rPr>
          <w:rFonts w:ascii="Arial" w:cs="Arial" w:eastAsia="Arial" w:hAnsi="Arial"/>
          <w:sz w:val="15"/>
          <w:szCs w:val="15"/>
          <w:i w:val="1"/>
          <w:iCs w:val="1"/>
          <w:color w:val="auto"/>
        </w:rPr>
        <w:t>Internal Control—Integrated Framework (2013)</w:t>
      </w:r>
      <w:r>
        <w:rPr>
          <w:rFonts w:ascii="Arial" w:cs="Arial" w:eastAsia="Arial" w:hAnsi="Arial"/>
          <w:sz w:val="15"/>
          <w:szCs w:val="15"/>
          <w:color w:val="auto"/>
        </w:rPr>
        <w:t xml:space="preserve"> issued by the Committee of Sponsoring Organizations of the Treadway Commission. Based on its assessment, management concluded that our internal control over financial reporting was effective as of December 31, 2015 based on those criteria.</w:t>
      </w:r>
    </w:p>
    <w:p>
      <w:pPr>
        <w:spacing w:after="0" w:line="152"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2015, has been audited by Ernst &amp; Young LLP, an independent registered public accounting firm, as stated in their report which appears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No change in our internal control over financial reporting occurred during the quarter ended December 31, 2015 that has materially affected, or is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information required by this item as set forth under the captions "Proposal 1—Election of Directors", "Executive Officers", "Section 16(a) Beneficial Ownership Reporting Compliance", "Corporate Governance—Audit Committee", and "Stockholder Proposals and Nominations for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Director" in our Proxy Statement for the 2016 Annual Meeting of Shareholders is incorporated in this Annual Report on Form 10-K by reference.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adopted a code of business conduct and ethics that applies to our directors and officers (including our principal executive officer, principal financial officer, principal accounting officer or controller, or persons performing similar functions) as well as our other employees. A copy of our code of business conduct and ethics is available on our website, www.ptcbio.com, under "Investor Relations", and is available in print to any person who requests it. We intend to post on our website all disclosures that are required by applicable law, the rules of the Securities and Exchange Commission or the NASDAQ Global Select Market concerning any amendment to, or waiver of, our code of business conduct and ethics.</w:t>
      </w:r>
    </w:p>
    <w:p>
      <w:pPr>
        <w:spacing w:after="0" w:line="16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required by this item as set forth in under the captions "Executive Compensation", "Director Compensation", and "Corporate Governance— Compensation Committee Interlocks and Insider Participation" in our Proxy Statement for the 2016 Annual Meeting of Shareholders is incorporated in this Annual Report on Form 10-K by reference.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information required by this item as set forth under the captions "Equity Compensation Plan Information" and "Principal Stockholders" in our Proxy Statement for the 2016 Annual Meeting of Shareholders is incorporated in this Annual Report on Form 10-K by reference.</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information required by this item as set forth under the caption "Corporate Governance—Transactions with Related Person", and "Corporate Governance—Director Independence" in our Proxy Statement for the 2016 Annual Meeting of Shareholders is incorporated in this Annual Report on Form 10-K by reference.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information required by this item as set forth under the caption "Proposal 2—Ratification of Election of Independent Registered Public Accounting Firm" in our Proxy Statement for the 2016 Annual Meeting of Shareholders is incorporated in this Annual Report on Form 10-K by reference.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statements and supplementary data are included in Part II Item 8 of the Annual Report on Form 10-K.</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Consolidated Balance Sheets as of December 31, 2015 and 2014</w:t>
      </w:r>
    </w:p>
    <w:p>
      <w:pPr>
        <w:spacing w:after="0" w:line="238" w:lineRule="exact"/>
        <w:rPr>
          <w:rFonts w:ascii="Arial" w:cs="Arial" w:eastAsia="Arial" w:hAnsi="Arial"/>
          <w:sz w:val="18"/>
          <w:szCs w:val="18"/>
          <w:color w:val="auto"/>
        </w:rPr>
      </w:pPr>
    </w:p>
    <w:p>
      <w:pPr>
        <w:ind w:left="5580" w:right="3600" w:hanging="5032"/>
        <w:spacing w:after="0" w:line="519" w:lineRule="auto"/>
        <w:tabs>
          <w:tab w:leader="none" w:pos="10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2015, 2014 and 2013 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Consolidated Statements of Comprehensive Income (Loss) for the years ended December 31, 2015, 2014 and 2013</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2015, 2014 and 2013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Consolidated Statements of Stockholders' Equity for the years ended December 31, 2015, 2014 and 2013</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Those exhibits required to be filed by Item 601 of Regulation S-K are listed in the Exhibit Index immediately preceding the exhibits hereto and such listing is incorporated herein by reference.</w:t>
      </w:r>
    </w:p>
    <w:p>
      <w:pPr>
        <w:spacing w:after="0" w:line="396"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00" w:type="dxa"/>
            <w:vAlign w:val="bottom"/>
          </w:tcPr>
          <w:p>
            <w:pPr>
              <w:ind w:left="3000"/>
              <w:spacing w:after="0"/>
              <w:rPr>
                <w:sz w:val="20"/>
                <w:szCs w:val="20"/>
                <w:color w:val="auto"/>
              </w:rPr>
            </w:pPr>
            <w:r>
              <w:rPr>
                <w:rFonts w:ascii="Arial" w:cs="Arial" w:eastAsia="Arial" w:hAnsi="Arial"/>
                <w:sz w:val="18"/>
                <w:szCs w:val="18"/>
                <w:b w:val="1"/>
                <w:bCs w:val="1"/>
                <w:color w:val="auto"/>
              </w:rPr>
              <w:t>Exhibit Index</w:t>
            </w:r>
          </w:p>
        </w:tc>
      </w:tr>
      <w:tr>
        <w:trPr>
          <w:trHeight w:val="354"/>
        </w:trPr>
        <w:tc>
          <w:tcPr>
            <w:tcW w:w="800" w:type="dxa"/>
            <w:vAlign w:val="bottom"/>
          </w:tcPr>
          <w:p>
            <w:pPr>
              <w:jc w:val="right"/>
              <w:ind w:right="119"/>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8100" w:type="dxa"/>
            <w:vAlign w:val="bottom"/>
          </w:tcPr>
          <w:p>
            <w:pPr>
              <w:spacing w:after="0"/>
              <w:rPr>
                <w:sz w:val="24"/>
                <w:szCs w:val="24"/>
                <w:color w:val="auto"/>
              </w:rPr>
            </w:pPr>
          </w:p>
        </w:tc>
      </w:tr>
      <w:tr>
        <w:trPr>
          <w:trHeight w:val="161"/>
        </w:trPr>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8100" w:type="dxa"/>
            <w:vAlign w:val="bottom"/>
            <w:tcBorders>
              <w:bottom w:val="single" w:sz="8" w:color="auto"/>
            </w:tcBorders>
          </w:tcPr>
          <w:p>
            <w:pPr>
              <w:ind w:left="3400"/>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89"/>
              </w:rPr>
              <w:t>Restated Certificate of Incorporation of the Registrant (incorporated by reference to Exhibit 3.3 to the Registration</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220"/>
              <w:spacing w:after="0"/>
              <w:rPr>
                <w:sz w:val="20"/>
                <w:szCs w:val="20"/>
                <w:color w:val="auto"/>
              </w:rPr>
            </w:pPr>
            <w:r>
              <w:rPr>
                <w:rFonts w:ascii="Arial" w:cs="Arial" w:eastAsia="Arial" w:hAnsi="Arial"/>
                <w:sz w:val="18"/>
                <w:szCs w:val="18"/>
                <w:color w:val="auto"/>
              </w:rPr>
              <w:t>Statement on Form S-1, as amended (File No. 333-188657), of the Registrant)</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8320" w:type="dxa"/>
            <w:vAlign w:val="bottom"/>
            <w:gridSpan w:val="2"/>
          </w:tcPr>
          <w:p>
            <w:pPr>
              <w:ind w:left="220"/>
              <w:spacing w:after="0"/>
              <w:rPr>
                <w:sz w:val="20"/>
                <w:szCs w:val="20"/>
                <w:color w:val="auto"/>
              </w:rPr>
            </w:pPr>
            <w:r>
              <w:rPr>
                <w:rFonts w:ascii="Arial" w:cs="Arial" w:eastAsia="Arial" w:hAnsi="Arial"/>
                <w:sz w:val="18"/>
                <w:szCs w:val="18"/>
                <w:color w:val="auto"/>
                <w:w w:val="93"/>
              </w:rPr>
              <w:t>Amended and Restated Bylaws of the Registrant (incorporated by reference to Exhibit 3.4 to the Registration</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220"/>
              <w:spacing w:after="0"/>
              <w:rPr>
                <w:sz w:val="20"/>
                <w:szCs w:val="20"/>
                <w:color w:val="auto"/>
              </w:rPr>
            </w:pPr>
            <w:r>
              <w:rPr>
                <w:rFonts w:ascii="Arial" w:cs="Arial" w:eastAsia="Arial" w:hAnsi="Arial"/>
                <w:sz w:val="18"/>
                <w:szCs w:val="18"/>
                <w:color w:val="auto"/>
              </w:rPr>
              <w:t>Statement on Form S-1, as amended (File No. 333-188657), of the Registrant)</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8320" w:type="dxa"/>
            <w:vAlign w:val="bottom"/>
            <w:gridSpan w:val="2"/>
          </w:tcPr>
          <w:p>
            <w:pPr>
              <w:ind w:left="220"/>
              <w:spacing w:after="0"/>
              <w:rPr>
                <w:sz w:val="20"/>
                <w:szCs w:val="20"/>
                <w:color w:val="auto"/>
              </w:rPr>
            </w:pPr>
            <w:r>
              <w:rPr>
                <w:rFonts w:ascii="Arial" w:cs="Arial" w:eastAsia="Arial" w:hAnsi="Arial"/>
                <w:sz w:val="18"/>
                <w:szCs w:val="18"/>
                <w:color w:val="auto"/>
                <w:w w:val="88"/>
              </w:rPr>
              <w:t>Specimen Stock Certificate evidencing the shares of common stock (incorporated by reference to Exhibit 4.1 to the</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220"/>
              <w:spacing w:after="0"/>
              <w:rPr>
                <w:sz w:val="20"/>
                <w:szCs w:val="20"/>
                <w:color w:val="auto"/>
              </w:rPr>
            </w:pPr>
            <w:r>
              <w:rPr>
                <w:rFonts w:ascii="Arial" w:cs="Arial" w:eastAsia="Arial" w:hAnsi="Arial"/>
                <w:sz w:val="18"/>
                <w:szCs w:val="18"/>
                <w:color w:val="auto"/>
              </w:rPr>
              <w:t>Registration Statement on Form S-1, as amended (File No. 333-188657), of the Registrant)</w:t>
            </w:r>
          </w:p>
        </w:tc>
      </w:tr>
      <w:tr>
        <w:trPr>
          <w:trHeight w:val="426"/>
        </w:trPr>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8320" w:type="dxa"/>
            <w:vAlign w:val="bottom"/>
            <w:gridSpan w:val="2"/>
          </w:tcPr>
          <w:p>
            <w:pPr>
              <w:ind w:left="220"/>
              <w:spacing w:after="0"/>
              <w:rPr>
                <w:sz w:val="20"/>
                <w:szCs w:val="20"/>
                <w:color w:val="auto"/>
              </w:rPr>
            </w:pPr>
            <w:r>
              <w:rPr>
                <w:rFonts w:ascii="Arial" w:cs="Arial" w:eastAsia="Arial" w:hAnsi="Arial"/>
                <w:sz w:val="18"/>
                <w:szCs w:val="18"/>
                <w:color w:val="auto"/>
                <w:w w:val="87"/>
              </w:rPr>
              <w:t>Second Amended and Restated Investor Rights Agreement dated as of March 7, 2013 (incorporated by reference to</w:t>
            </w:r>
          </w:p>
        </w:tc>
      </w:tr>
      <w:tr>
        <w:trPr>
          <w:trHeight w:val="222"/>
        </w:trPr>
        <w:tc>
          <w:tcPr>
            <w:tcW w:w="800" w:type="dxa"/>
            <w:vAlign w:val="bottom"/>
          </w:tcPr>
          <w:p>
            <w:pPr>
              <w:spacing w:after="0"/>
              <w:rPr>
                <w:sz w:val="19"/>
                <w:szCs w:val="19"/>
                <w:color w:val="auto"/>
              </w:rPr>
            </w:pPr>
          </w:p>
        </w:tc>
        <w:tc>
          <w:tcPr>
            <w:tcW w:w="8320" w:type="dxa"/>
            <w:vAlign w:val="bottom"/>
            <w:gridSpan w:val="2"/>
          </w:tcPr>
          <w:p>
            <w:pPr>
              <w:ind w:left="220"/>
              <w:spacing w:after="0"/>
              <w:rPr>
                <w:sz w:val="20"/>
                <w:szCs w:val="20"/>
                <w:color w:val="auto"/>
              </w:rPr>
            </w:pPr>
            <w:r>
              <w:rPr>
                <w:rFonts w:ascii="Arial" w:cs="Arial" w:eastAsia="Arial" w:hAnsi="Arial"/>
                <w:sz w:val="18"/>
                <w:szCs w:val="18"/>
                <w:color w:val="auto"/>
                <w:w w:val="93"/>
              </w:rPr>
              <w:t>Exhibit 4.2 to the Registration Statement on Form S-1, as amended (File No. 333-188657), of the Registrant)</w:t>
            </w:r>
          </w:p>
        </w:tc>
      </w:tr>
    </w:tbl>
    <w:p>
      <w:pPr>
        <w:spacing w:after="0" w:line="210" w:lineRule="exact"/>
        <w:rPr>
          <w:sz w:val="20"/>
          <w:szCs w:val="20"/>
          <w:color w:val="auto"/>
        </w:rPr>
      </w:pPr>
    </w:p>
    <w:p>
      <w:pPr>
        <w:ind w:left="2180" w:right="1340" w:hanging="522"/>
        <w:spacing w:after="0" w:line="332" w:lineRule="auto"/>
        <w:rPr>
          <w:sz w:val="20"/>
          <w:szCs w:val="20"/>
          <w:color w:val="auto"/>
        </w:rPr>
      </w:pPr>
      <w:r>
        <w:rPr>
          <w:rFonts w:ascii="Arial" w:cs="Arial" w:eastAsia="Arial" w:hAnsi="Arial"/>
          <w:sz w:val="16"/>
          <w:szCs w:val="16"/>
          <w:color w:val="auto"/>
        </w:rPr>
        <w:t>10.1+ 1998 Employee, Director and Consultant Stock Option Plan, as amended (incorporated by reference to Exhibit 10.1 to the Registration Statement on Form S-1, as amended (File No. 333-188657), of the Registrant)</w:t>
      </w:r>
    </w:p>
    <w:p>
      <w:pPr>
        <w:spacing w:after="0" w:line="139" w:lineRule="exact"/>
        <w:rPr>
          <w:sz w:val="20"/>
          <w:szCs w:val="20"/>
          <w:color w:val="auto"/>
        </w:rPr>
      </w:pPr>
    </w:p>
    <w:p>
      <w:pPr>
        <w:ind w:left="2180" w:right="1160" w:hanging="522"/>
        <w:spacing w:after="0" w:line="259" w:lineRule="auto"/>
        <w:rPr>
          <w:sz w:val="20"/>
          <w:szCs w:val="20"/>
          <w:color w:val="auto"/>
        </w:rPr>
      </w:pPr>
      <w:r>
        <w:rPr>
          <w:rFonts w:ascii="Arial" w:cs="Arial" w:eastAsia="Arial" w:hAnsi="Arial"/>
          <w:sz w:val="18"/>
          <w:szCs w:val="18"/>
          <w:color w:val="auto"/>
        </w:rPr>
        <w:t>10.2+ Form of Incentive Stock Option Certificate under 1998 Employee, Director and Consultant Stock Option Plan (incorporated by reference to Exhibit 10.2 to the Registration Statement on Form S-1, as amended (File No. 333-188657), of the Registrant)</w:t>
      </w:r>
    </w:p>
    <w:p>
      <w:pPr>
        <w:spacing w:after="0" w:line="194" w:lineRule="exact"/>
        <w:rPr>
          <w:sz w:val="20"/>
          <w:szCs w:val="20"/>
          <w:color w:val="auto"/>
        </w:rPr>
      </w:pPr>
    </w:p>
    <w:p>
      <w:pPr>
        <w:ind w:left="2180" w:right="980" w:hanging="522"/>
        <w:spacing w:after="0" w:line="259" w:lineRule="auto"/>
        <w:rPr>
          <w:sz w:val="20"/>
          <w:szCs w:val="20"/>
          <w:color w:val="auto"/>
        </w:rPr>
      </w:pPr>
      <w:r>
        <w:rPr>
          <w:rFonts w:ascii="Arial" w:cs="Arial" w:eastAsia="Arial" w:hAnsi="Arial"/>
          <w:sz w:val="18"/>
          <w:szCs w:val="18"/>
          <w:color w:val="auto"/>
        </w:rPr>
        <w:t>10.3+ Form of Non-Qualified Stock Option Certificate under 1998 Employee, Director and Consultant Stock Option Plan (incorporated by reference to Exhibit 10.3 to the Registration Statement on Form S-1, as amended (File No. 333-188657), of the Registrant)</w:t>
      </w:r>
    </w:p>
    <w:p>
      <w:pPr>
        <w:spacing w:after="0" w:line="194" w:lineRule="exact"/>
        <w:rPr>
          <w:sz w:val="20"/>
          <w:szCs w:val="20"/>
          <w:color w:val="auto"/>
        </w:rPr>
      </w:pPr>
    </w:p>
    <w:p>
      <w:pPr>
        <w:ind w:left="2180" w:right="1700" w:hanging="522"/>
        <w:spacing w:after="0" w:line="332" w:lineRule="auto"/>
        <w:rPr>
          <w:sz w:val="20"/>
          <w:szCs w:val="20"/>
          <w:color w:val="auto"/>
        </w:rPr>
      </w:pPr>
      <w:r>
        <w:rPr>
          <w:rFonts w:ascii="Arial" w:cs="Arial" w:eastAsia="Arial" w:hAnsi="Arial"/>
          <w:sz w:val="16"/>
          <w:szCs w:val="16"/>
          <w:color w:val="auto"/>
        </w:rPr>
        <w:t>10.4+ 2009 Equity and Long Term Incentive Plan, as amended (incorporated by reference to Exhibit 10.4 to the Registration Statement on Form S-1, as amended (File No. 333-188657), of the Registrant)</w:t>
      </w:r>
    </w:p>
    <w:p>
      <w:pPr>
        <w:spacing w:after="0" w:line="139" w:lineRule="exact"/>
        <w:rPr>
          <w:sz w:val="20"/>
          <w:szCs w:val="20"/>
          <w:color w:val="auto"/>
        </w:rPr>
      </w:pPr>
    </w:p>
    <w:p>
      <w:pPr>
        <w:ind w:left="2180" w:right="1160" w:hanging="522"/>
        <w:spacing w:after="0" w:line="259" w:lineRule="auto"/>
        <w:rPr>
          <w:sz w:val="20"/>
          <w:szCs w:val="20"/>
          <w:color w:val="auto"/>
        </w:rPr>
      </w:pPr>
      <w:r>
        <w:rPr>
          <w:rFonts w:ascii="Arial" w:cs="Arial" w:eastAsia="Arial" w:hAnsi="Arial"/>
          <w:sz w:val="18"/>
          <w:szCs w:val="18"/>
          <w:color w:val="auto"/>
        </w:rPr>
        <w:t>10.5+ Form of Notice of Award for Incentive Stock Option under 2009 Equity and Long Term Incentive Plan (incorporated by reference to Exhibit 10.5 to the Registration Statement on Form S-1, as amended (File No. 333-188657), of the Registrant)</w:t>
      </w:r>
    </w:p>
    <w:p>
      <w:pPr>
        <w:spacing w:after="0" w:line="194" w:lineRule="exact"/>
        <w:rPr>
          <w:sz w:val="20"/>
          <w:szCs w:val="20"/>
          <w:color w:val="auto"/>
        </w:rPr>
      </w:pPr>
    </w:p>
    <w:p>
      <w:pPr>
        <w:ind w:left="2180" w:right="1160" w:hanging="522"/>
        <w:spacing w:after="0" w:line="253" w:lineRule="auto"/>
        <w:rPr>
          <w:sz w:val="20"/>
          <w:szCs w:val="20"/>
          <w:color w:val="auto"/>
        </w:rPr>
      </w:pPr>
      <w:r>
        <w:rPr>
          <w:rFonts w:ascii="Arial" w:cs="Arial" w:eastAsia="Arial" w:hAnsi="Arial"/>
          <w:sz w:val="18"/>
          <w:szCs w:val="18"/>
          <w:color w:val="auto"/>
        </w:rPr>
        <w:t>10.6+ Form of Notice of Award for Nonstatutory Stock Option under 2009 Equity and Long Term Incentive Plan (incorporated by reference to Exhibit 10.6 to the Registration Statement on Form S-1, as amended (File No. 333-188657), of the Registrant)</w:t>
      </w:r>
    </w:p>
    <w:p>
      <w:pPr>
        <w:jc w:val="right"/>
        <w:ind w:left="1660" w:right="1060"/>
        <w:spacing w:after="0" w:line="323" w:lineRule="auto"/>
        <w:rPr>
          <w:sz w:val="20"/>
          <w:szCs w:val="20"/>
          <w:color w:val="auto"/>
        </w:rPr>
      </w:pPr>
      <w:r>
        <w:rPr>
          <w:rFonts w:ascii="Arial" w:cs="Arial" w:eastAsia="Arial" w:hAnsi="Arial"/>
          <w:sz w:val="16"/>
          <w:szCs w:val="16"/>
          <w:color w:val="auto"/>
        </w:rPr>
        <w:t>10.7+  Form of Restricted Stock Agreement under 2009 Equity and Long Term Incentive Plan (incorporated by reference to Exhibit 10.19 to the Registration Statement on Form S-1, as amended (File No. 333-188657), of the Registrant)</w:t>
      </w:r>
    </w:p>
    <w:p>
      <w:pPr>
        <w:spacing w:after="0" w:line="147" w:lineRule="exact"/>
        <w:rPr>
          <w:sz w:val="20"/>
          <w:szCs w:val="20"/>
          <w:color w:val="auto"/>
        </w:rPr>
      </w:pPr>
    </w:p>
    <w:p>
      <w:pPr>
        <w:ind w:left="2180" w:right="980" w:hanging="522"/>
        <w:spacing w:after="0" w:line="268" w:lineRule="auto"/>
        <w:rPr>
          <w:sz w:val="20"/>
          <w:szCs w:val="20"/>
          <w:color w:val="auto"/>
        </w:rPr>
      </w:pPr>
      <w:r>
        <w:rPr>
          <w:rFonts w:ascii="Arial" w:cs="Arial" w:eastAsia="Arial" w:hAnsi="Arial"/>
          <w:sz w:val="18"/>
          <w:szCs w:val="18"/>
          <w:color w:val="auto"/>
        </w:rPr>
        <w:t>10.8+ 2013 Stock Incentive Plan (incorporated by reference to Exhibit 10.7 to the Registration Statement on Form S-1, as amended (File No. 333-188657), of the Registrant)</w:t>
      </w: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80" w:name="page181"/>
    <w:bookmarkEnd w:id="18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0219"/>
          </w:cols>
          <w:pgMar w:left="240" w:top="131" w:right="1440" w:bottom="1440" w:gutter="0" w:footer="0" w:header="0"/>
        </w:sectPr>
      </w:pPr>
    </w:p>
    <w:p>
      <w:pPr>
        <w:spacing w:after="0" w:line="25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143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14605</wp:posOffset>
            </wp:positionV>
            <wp:extent cx="51454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860" w:space="720"/>
            <w:col w:w="4639"/>
          </w:cols>
          <w:pgMar w:left="240" w:top="131" w:right="1440" w:bottom="1440" w:gutter="0" w:footer="0" w:header="0"/>
          <w:type w:val="continuous"/>
        </w:sectPr>
      </w:pPr>
    </w:p>
    <w:p>
      <w:pPr>
        <w:ind w:left="2180" w:right="119" w:hanging="522"/>
        <w:spacing w:after="0" w:line="321" w:lineRule="auto"/>
        <w:rPr>
          <w:sz w:val="20"/>
          <w:szCs w:val="20"/>
          <w:color w:val="auto"/>
        </w:rPr>
      </w:pPr>
      <w:r>
        <w:rPr>
          <w:rFonts w:ascii="Arial" w:cs="Arial" w:eastAsia="Arial" w:hAnsi="Arial"/>
          <w:sz w:val="16"/>
          <w:szCs w:val="16"/>
          <w:color w:val="auto"/>
        </w:rPr>
        <w:t>10.9+ Form of Restricted Stock Agreement under 2013 Stock Incentive Plan (incorporated by reference to Exhibit 10.8 to the Registration Statement on Form S-1, as amended (File No. 333-188657), of the Registrant)</w:t>
      </w:r>
    </w:p>
    <w:p>
      <w:pPr>
        <w:spacing w:after="0" w:line="148" w:lineRule="exact"/>
        <w:rPr>
          <w:sz w:val="20"/>
          <w:szCs w:val="20"/>
          <w:color w:val="auto"/>
        </w:rPr>
      </w:pPr>
    </w:p>
    <w:p>
      <w:pPr>
        <w:jc w:val="right"/>
        <w:ind w:left="1560" w:right="299"/>
        <w:spacing w:after="0" w:line="332" w:lineRule="auto"/>
        <w:rPr>
          <w:sz w:val="20"/>
          <w:szCs w:val="20"/>
          <w:color w:val="auto"/>
        </w:rPr>
      </w:pPr>
      <w:r>
        <w:rPr>
          <w:rFonts w:ascii="Arial" w:cs="Arial" w:eastAsia="Arial" w:hAnsi="Arial"/>
          <w:sz w:val="16"/>
          <w:szCs w:val="16"/>
          <w:color w:val="auto"/>
        </w:rPr>
        <w:t>10.10+  Form of Nonstatutory Stock Option Agreement under 2013 Stock Incentive Plan (incorporated by reference to Exhibit 10.9 to the Registration Statement on Form S-1, as amended (File No. 333-188657), of the Registrant)</w:t>
      </w:r>
    </w:p>
    <w:p>
      <w:pPr>
        <w:spacing w:after="0" w:line="139" w:lineRule="exact"/>
        <w:rPr>
          <w:sz w:val="20"/>
          <w:szCs w:val="20"/>
          <w:color w:val="auto"/>
        </w:rPr>
      </w:pPr>
    </w:p>
    <w:p>
      <w:pPr>
        <w:ind w:left="2180" w:right="419" w:hanging="604"/>
        <w:spacing w:after="0" w:line="268" w:lineRule="auto"/>
        <w:rPr>
          <w:sz w:val="20"/>
          <w:szCs w:val="20"/>
          <w:color w:val="auto"/>
        </w:rPr>
      </w:pPr>
      <w:r>
        <w:rPr>
          <w:rFonts w:ascii="Arial" w:cs="Arial" w:eastAsia="Arial" w:hAnsi="Arial"/>
          <w:sz w:val="18"/>
          <w:szCs w:val="18"/>
          <w:color w:val="auto"/>
        </w:rPr>
        <w:t>10.11+ 2013 Long Term Incentive Plan (incorporated by reference to Exhibit 10.10 to the Registration Statement on Form S-1, as amended (File No. 333-188657), of the Registrant)</w:t>
      </w:r>
    </w:p>
    <w:p>
      <w:pPr>
        <w:spacing w:after="0" w:line="186" w:lineRule="exact"/>
        <w:rPr>
          <w:sz w:val="20"/>
          <w:szCs w:val="20"/>
          <w:color w:val="auto"/>
        </w:rPr>
      </w:pPr>
    </w:p>
    <w:p>
      <w:pPr>
        <w:jc w:val="both"/>
        <w:ind w:left="2180" w:right="119" w:hanging="610"/>
        <w:spacing w:after="0" w:line="259" w:lineRule="auto"/>
        <w:rPr>
          <w:sz w:val="20"/>
          <w:szCs w:val="20"/>
          <w:color w:val="auto"/>
        </w:rPr>
      </w:pPr>
      <w:r>
        <w:rPr>
          <w:rFonts w:ascii="Arial" w:cs="Arial" w:eastAsia="Arial" w:hAnsi="Arial"/>
          <w:sz w:val="18"/>
          <w:szCs w:val="18"/>
          <w:color w:val="auto"/>
        </w:rPr>
        <w:t>10.12+ Form of Incentive Stock Option Agreement under 2013 Long Term Incentive Plan—2013/2014 (incorporated by reference to Exhibit 10.11 to the Registration Statement on Form S-1, as amended (File No. 333-188657), of the Registrant)</w:t>
      </w:r>
    </w:p>
    <w:p>
      <w:pPr>
        <w:spacing w:after="0" w:line="194" w:lineRule="exact"/>
        <w:rPr>
          <w:sz w:val="20"/>
          <w:szCs w:val="20"/>
          <w:color w:val="auto"/>
        </w:rPr>
      </w:pPr>
    </w:p>
    <w:p>
      <w:pPr>
        <w:ind w:left="2180" w:right="79" w:hanging="610"/>
        <w:spacing w:after="0" w:line="259" w:lineRule="auto"/>
        <w:rPr>
          <w:sz w:val="20"/>
          <w:szCs w:val="20"/>
          <w:color w:val="auto"/>
        </w:rPr>
      </w:pPr>
      <w:r>
        <w:rPr>
          <w:rFonts w:ascii="Arial" w:cs="Arial" w:eastAsia="Arial" w:hAnsi="Arial"/>
          <w:sz w:val="18"/>
          <w:szCs w:val="18"/>
          <w:color w:val="auto"/>
        </w:rPr>
        <w:t>10.13+ Form of Nonstatutory Stock Option Agreement under 2013 Long Term Incentive Plan—2013/2014 (incorporated by reference to Exhibit 10.12 to the Registration Statement on Form S-1, as amended (File No. 333-188657), of the Registrant)</w:t>
      </w:r>
    </w:p>
    <w:p>
      <w:pPr>
        <w:spacing w:after="0" w:line="194" w:lineRule="exact"/>
        <w:rPr>
          <w:sz w:val="20"/>
          <w:szCs w:val="20"/>
          <w:color w:val="auto"/>
        </w:rPr>
      </w:pPr>
    </w:p>
    <w:p>
      <w:pPr>
        <w:ind w:left="2180" w:right="419" w:hanging="610"/>
        <w:spacing w:after="0" w:line="332" w:lineRule="auto"/>
        <w:rPr>
          <w:sz w:val="20"/>
          <w:szCs w:val="20"/>
          <w:color w:val="auto"/>
        </w:rPr>
      </w:pPr>
      <w:r>
        <w:rPr>
          <w:rFonts w:ascii="Arial" w:cs="Arial" w:eastAsia="Arial" w:hAnsi="Arial"/>
          <w:sz w:val="16"/>
          <w:szCs w:val="16"/>
          <w:color w:val="auto"/>
        </w:rPr>
        <w:t>10.14+ Form of Nonqualified Stock Option Agreement Inducement Grant Agreement—2014/2015 (incorporated by reference to Exhibit 10.14 to the Annual Report on Form 10-K filed by the Registrant on March 2, 2015)</w:t>
      </w:r>
    </w:p>
    <w:p>
      <w:pPr>
        <w:spacing w:after="0" w:line="139" w:lineRule="exact"/>
        <w:rPr>
          <w:sz w:val="20"/>
          <w:szCs w:val="20"/>
          <w:color w:val="auto"/>
        </w:rPr>
      </w:pPr>
    </w:p>
    <w:p>
      <w:pPr>
        <w:jc w:val="center"/>
        <w:ind w:left="1560" w:right="119"/>
        <w:spacing w:after="0" w:line="332" w:lineRule="auto"/>
        <w:rPr>
          <w:sz w:val="20"/>
          <w:szCs w:val="20"/>
          <w:color w:val="auto"/>
        </w:rPr>
      </w:pPr>
      <w:r>
        <w:rPr>
          <w:rFonts w:ascii="Arial" w:cs="Arial" w:eastAsia="Arial" w:hAnsi="Arial"/>
          <w:sz w:val="16"/>
          <w:szCs w:val="16"/>
          <w:color w:val="auto"/>
        </w:rPr>
        <w:t>10.15+  Form of Incentive Stock Option Agreement under 2013 Long Term Incentive Plan—2014/2015 (incorporated by reference to Exhibit 10.15 to the Annual Report on Form 10-K filed by the Registrant on March 2, 2015)</w:t>
      </w:r>
    </w:p>
    <w:p>
      <w:pPr>
        <w:spacing w:after="0" w:line="139" w:lineRule="exact"/>
        <w:rPr>
          <w:sz w:val="20"/>
          <w:szCs w:val="20"/>
          <w:color w:val="auto"/>
        </w:rPr>
      </w:pPr>
    </w:p>
    <w:p>
      <w:pPr>
        <w:ind w:left="2180" w:right="79" w:hanging="610"/>
        <w:spacing w:after="0" w:line="332" w:lineRule="auto"/>
        <w:rPr>
          <w:sz w:val="20"/>
          <w:szCs w:val="20"/>
          <w:color w:val="auto"/>
        </w:rPr>
      </w:pPr>
      <w:r>
        <w:rPr>
          <w:rFonts w:ascii="Arial" w:cs="Arial" w:eastAsia="Arial" w:hAnsi="Arial"/>
          <w:sz w:val="16"/>
          <w:szCs w:val="16"/>
          <w:color w:val="auto"/>
        </w:rPr>
        <w:t>10.16+ Form of Nonstatutory Stock Option Agreement under 2013 Long Term Incentive Plan—2014/2015 (incorporated by reference to Exhibit 10.16 to the Annual Report on Form 10-K filed by the Registrant on March 2, 2015)</w:t>
      </w:r>
    </w:p>
    <w:p>
      <w:pPr>
        <w:spacing w:after="0" w:line="139" w:lineRule="exact"/>
        <w:rPr>
          <w:sz w:val="20"/>
          <w:szCs w:val="20"/>
          <w:color w:val="auto"/>
        </w:rPr>
      </w:pPr>
    </w:p>
    <w:p>
      <w:pPr>
        <w:ind w:left="2180" w:right="19" w:hanging="610"/>
        <w:spacing w:after="0" w:line="259" w:lineRule="auto"/>
        <w:tabs>
          <w:tab w:leader="none" w:pos="2160" w:val="left"/>
        </w:tabs>
        <w:rPr>
          <w:sz w:val="20"/>
          <w:szCs w:val="20"/>
          <w:color w:val="auto"/>
        </w:rPr>
      </w:pPr>
      <w:r>
        <w:rPr>
          <w:rFonts w:ascii="Arial" w:cs="Arial" w:eastAsia="Arial" w:hAnsi="Arial"/>
          <w:sz w:val="18"/>
          <w:szCs w:val="18"/>
          <w:color w:val="auto"/>
        </w:rPr>
        <w:t>10.17</w:t>
        <w:tab/>
        <w:t>Lease Agreement, dated as of July 11, 2000, as amended, between the Registrant and 46.24 Associates L.P. (incorporated by reference to Exhibit 10.13 to the Registration Statement on Form S-1, as amended (File No. 333-188657), of the Registrant)</w:t>
      </w:r>
    </w:p>
    <w:p>
      <w:pPr>
        <w:spacing w:after="0" w:line="194" w:lineRule="exact"/>
        <w:rPr>
          <w:sz w:val="20"/>
          <w:szCs w:val="20"/>
          <w:color w:val="auto"/>
        </w:rPr>
      </w:pPr>
    </w:p>
    <w:p>
      <w:pPr>
        <w:ind w:left="2180" w:right="19" w:hanging="610"/>
        <w:spacing w:after="0" w:line="256" w:lineRule="auto"/>
        <w:rPr>
          <w:sz w:val="20"/>
          <w:szCs w:val="20"/>
          <w:color w:val="auto"/>
        </w:rPr>
      </w:pPr>
      <w:r>
        <w:rPr>
          <w:rFonts w:ascii="Arial" w:cs="Arial" w:eastAsia="Arial" w:hAnsi="Arial"/>
          <w:sz w:val="18"/>
          <w:szCs w:val="18"/>
          <w:color w:val="auto"/>
        </w:rPr>
        <w:t>10.18† License and Collaboration Agreement, dated as of November 23, 2011, as amended, by and among the Registrant, F. Hoffmann-La Roche Ltd and Hoffmann-La Roche, Inc. and Spinal Muscular Atrophy Foundation (incorporated by reference to Exhibit 10.14 to the Registration Statement on Form S-1, as amended (File No. 333-188657), of the Registrant)</w:t>
      </w:r>
    </w:p>
    <w:p>
      <w:pPr>
        <w:spacing w:after="0" w:line="197" w:lineRule="exact"/>
        <w:rPr>
          <w:sz w:val="20"/>
          <w:szCs w:val="20"/>
          <w:color w:val="auto"/>
        </w:rPr>
      </w:pPr>
    </w:p>
    <w:p>
      <w:pPr>
        <w:ind w:left="2180" w:right="139" w:hanging="610"/>
        <w:spacing w:after="0" w:line="259" w:lineRule="auto"/>
        <w:rPr>
          <w:sz w:val="20"/>
          <w:szCs w:val="20"/>
          <w:color w:val="auto"/>
        </w:rPr>
      </w:pPr>
      <w:r>
        <w:rPr>
          <w:rFonts w:ascii="Arial" w:cs="Arial" w:eastAsia="Arial" w:hAnsi="Arial"/>
          <w:sz w:val="18"/>
          <w:szCs w:val="18"/>
          <w:color w:val="auto"/>
        </w:rPr>
        <w:t>10.19† Sponsored Research Agreement, as amended dated as of June 1, 2006, by and between the Registrant and Spinal Muscular Atrophy Foundation (incorporated by reference to Exhibit 10.15 to the Registration Statement on Form S-1, as amended (File No. 333-188657), of the Registrant)</w:t>
      </w:r>
    </w:p>
    <w:p>
      <w:pPr>
        <w:spacing w:after="0" w:line="194" w:lineRule="exact"/>
        <w:rPr>
          <w:sz w:val="20"/>
          <w:szCs w:val="20"/>
          <w:color w:val="auto"/>
        </w:rPr>
      </w:pPr>
    </w:p>
    <w:p>
      <w:pPr>
        <w:ind w:left="2180" w:right="19" w:hanging="610"/>
        <w:spacing w:after="0" w:line="259" w:lineRule="auto"/>
        <w:rPr>
          <w:sz w:val="20"/>
          <w:szCs w:val="20"/>
          <w:color w:val="auto"/>
        </w:rPr>
      </w:pPr>
      <w:r>
        <w:rPr>
          <w:rFonts w:ascii="Arial" w:cs="Arial" w:eastAsia="Arial" w:hAnsi="Arial"/>
          <w:sz w:val="18"/>
          <w:szCs w:val="18"/>
          <w:color w:val="auto"/>
        </w:rPr>
        <w:t>10.20† Funding Agreement, dated as of May 26, 2010, by and between the Registrant and The Wellcome Trust Limited (incorporated by reference to Exhibit 10.16 to the Registration Statement on Form S-1, as amended (File No. 333-188657), of the Registrant)</w:t>
      </w:r>
    </w:p>
    <w:p>
      <w:pPr>
        <w:spacing w:after="0" w:line="194" w:lineRule="exact"/>
        <w:rPr>
          <w:sz w:val="20"/>
          <w:szCs w:val="20"/>
          <w:color w:val="auto"/>
        </w:rPr>
      </w:pPr>
    </w:p>
    <w:p>
      <w:pPr>
        <w:ind w:left="2180" w:right="99" w:hanging="610"/>
        <w:spacing w:after="0" w:line="259" w:lineRule="auto"/>
        <w:rPr>
          <w:sz w:val="20"/>
          <w:szCs w:val="20"/>
          <w:color w:val="auto"/>
        </w:rPr>
      </w:pPr>
      <w:r>
        <w:rPr>
          <w:rFonts w:ascii="Arial" w:cs="Arial" w:eastAsia="Arial" w:hAnsi="Arial"/>
          <w:sz w:val="18"/>
          <w:szCs w:val="18"/>
          <w:color w:val="auto"/>
        </w:rPr>
        <w:t>10.21† Funding Agreement, dated as of December 21, 2011, by and between the Registrant and The Wellcome Trust Limited (incorporated by reference to Exhibit 10.17 to the Registration Statement on Form S-1, as amended (File No. 333-188657), of the Registrant)</w:t>
      </w:r>
    </w:p>
    <w:p>
      <w:pPr>
        <w:spacing w:after="0" w:line="194" w:lineRule="exact"/>
        <w:rPr>
          <w:sz w:val="20"/>
          <w:szCs w:val="20"/>
          <w:color w:val="auto"/>
        </w:rPr>
      </w:pPr>
    </w:p>
    <w:p>
      <w:pPr>
        <w:ind w:left="2180" w:right="159" w:hanging="610"/>
        <w:spacing w:after="0" w:line="259" w:lineRule="auto"/>
        <w:rPr>
          <w:sz w:val="20"/>
          <w:szCs w:val="20"/>
          <w:color w:val="auto"/>
        </w:rPr>
      </w:pPr>
      <w:r>
        <w:rPr>
          <w:rFonts w:ascii="Arial" w:cs="Arial" w:eastAsia="Arial" w:hAnsi="Arial"/>
          <w:sz w:val="18"/>
          <w:szCs w:val="18"/>
          <w:color w:val="auto"/>
        </w:rPr>
        <w:t>10.22+ Amended and Restated Employment Agreement between the Registrant and Stuart W. Peltz (incorporated by reference to Exhibit 10.20 to the Registration Statement on Form S-1, as amended (File No. 333-188657), of the Registrant)</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81" w:name="page182"/>
    <w:bookmarkEnd w:id="18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0240"/>
          </w:cols>
          <w:pgMar w:left="240" w:top="131" w:right="1419" w:bottom="1440" w:gutter="0" w:footer="0" w:header="0"/>
        </w:sectPr>
      </w:pPr>
    </w:p>
    <w:p>
      <w:pPr>
        <w:spacing w:after="0" w:line="25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143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14605</wp:posOffset>
            </wp:positionV>
            <wp:extent cx="51454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860" w:space="720"/>
            <w:col w:w="4660"/>
          </w:cols>
          <w:pgMar w:left="240" w:top="131" w:right="1419" w:bottom="1440" w:gutter="0" w:footer="0" w:header="0"/>
          <w:type w:val="continuous"/>
        </w:sectPr>
      </w:pPr>
    </w:p>
    <w:p>
      <w:pPr>
        <w:ind w:left="2180" w:right="140" w:hanging="610"/>
        <w:spacing w:after="0" w:line="259" w:lineRule="auto"/>
        <w:rPr>
          <w:sz w:val="20"/>
          <w:szCs w:val="20"/>
          <w:color w:val="auto"/>
        </w:rPr>
      </w:pPr>
      <w:r>
        <w:rPr>
          <w:rFonts w:ascii="Arial" w:cs="Arial" w:eastAsia="Arial" w:hAnsi="Arial"/>
          <w:sz w:val="18"/>
          <w:szCs w:val="18"/>
          <w:color w:val="auto"/>
        </w:rPr>
        <w:t>10.23+ Employment Agreement between the Registrant and Robert J. Spiegel (incorporated by reference to Exhibit 10.2 to the Annual Report on Form 10-K filed by the Registrant on May 6, 2014)</w:t>
      </w:r>
    </w:p>
    <w:p>
      <w:pPr>
        <w:spacing w:after="0" w:line="194" w:lineRule="exact"/>
        <w:rPr>
          <w:sz w:val="20"/>
          <w:szCs w:val="20"/>
          <w:color w:val="auto"/>
        </w:rPr>
      </w:pPr>
    </w:p>
    <w:p>
      <w:pPr>
        <w:ind w:left="2180" w:right="220" w:hanging="610"/>
        <w:spacing w:after="0" w:line="259" w:lineRule="auto"/>
        <w:rPr>
          <w:sz w:val="20"/>
          <w:szCs w:val="20"/>
          <w:color w:val="auto"/>
        </w:rPr>
      </w:pPr>
      <w:r>
        <w:rPr>
          <w:rFonts w:ascii="Arial" w:cs="Arial" w:eastAsia="Arial" w:hAnsi="Arial"/>
          <w:sz w:val="18"/>
          <w:szCs w:val="18"/>
          <w:color w:val="auto"/>
        </w:rPr>
        <w:t>10.24+ Inducement Stock Option Award—Nonstatutory Stock Option Agreement dated February 27, 2014 between the Registrant and Robert J. Spiegel (incorporated by reference to Exhibit 99.2 to the Registration Statement on Form S-8 (File No. 333-194323), of the Registrant)</w:t>
      </w:r>
    </w:p>
    <w:p>
      <w:pPr>
        <w:spacing w:after="0" w:line="194" w:lineRule="exact"/>
        <w:rPr>
          <w:sz w:val="20"/>
          <w:szCs w:val="20"/>
          <w:color w:val="auto"/>
        </w:rPr>
      </w:pPr>
    </w:p>
    <w:p>
      <w:pPr>
        <w:ind w:left="2180" w:right="180" w:hanging="610"/>
        <w:spacing w:after="0" w:line="259" w:lineRule="auto"/>
        <w:rPr>
          <w:sz w:val="20"/>
          <w:szCs w:val="20"/>
          <w:color w:val="auto"/>
        </w:rPr>
      </w:pPr>
      <w:r>
        <w:rPr>
          <w:rFonts w:ascii="Arial" w:cs="Arial" w:eastAsia="Arial" w:hAnsi="Arial"/>
          <w:sz w:val="18"/>
          <w:szCs w:val="18"/>
          <w:color w:val="auto"/>
        </w:rPr>
        <w:t>10.25+ Amended and Restated Employment Agreement between the Registrant and Claudia Hirawat (incorporated by reference to Exhibit 10.21 to the Registration Statement on Form S-1, as amended (File No. 333-188657), of the Registrant)</w:t>
      </w:r>
    </w:p>
    <w:p>
      <w:pPr>
        <w:spacing w:after="0" w:line="194" w:lineRule="exact"/>
        <w:rPr>
          <w:sz w:val="20"/>
          <w:szCs w:val="20"/>
          <w:color w:val="auto"/>
        </w:rPr>
      </w:pPr>
    </w:p>
    <w:p>
      <w:pPr>
        <w:jc w:val="right"/>
        <w:ind w:left="1560" w:right="640"/>
        <w:spacing w:after="0" w:line="332" w:lineRule="auto"/>
        <w:rPr>
          <w:sz w:val="20"/>
          <w:szCs w:val="20"/>
          <w:color w:val="auto"/>
        </w:rPr>
      </w:pPr>
      <w:r>
        <w:rPr>
          <w:rFonts w:ascii="Arial" w:cs="Arial" w:eastAsia="Arial" w:hAnsi="Arial"/>
          <w:sz w:val="16"/>
          <w:szCs w:val="16"/>
          <w:color w:val="auto"/>
        </w:rPr>
        <w:t>10.26+  Separation and General Release Agreement between the Registrant and Claudia Hirawat (incorporated by reference to Exhibit 10.26 to the Annual Report on Form 10-K filed by the Registrant on March 2, 2015)</w:t>
      </w:r>
    </w:p>
    <w:p>
      <w:pPr>
        <w:spacing w:after="0" w:line="139" w:lineRule="exact"/>
        <w:rPr>
          <w:sz w:val="20"/>
          <w:szCs w:val="20"/>
          <w:color w:val="auto"/>
        </w:rPr>
      </w:pPr>
    </w:p>
    <w:p>
      <w:pPr>
        <w:jc w:val="both"/>
        <w:ind w:left="2180" w:right="180" w:hanging="610"/>
        <w:spacing w:after="0" w:line="259" w:lineRule="auto"/>
        <w:rPr>
          <w:sz w:val="20"/>
          <w:szCs w:val="20"/>
          <w:color w:val="auto"/>
        </w:rPr>
      </w:pPr>
      <w:r>
        <w:rPr>
          <w:rFonts w:ascii="Arial" w:cs="Arial" w:eastAsia="Arial" w:hAnsi="Arial"/>
          <w:sz w:val="18"/>
          <w:szCs w:val="18"/>
          <w:color w:val="auto"/>
        </w:rPr>
        <w:t>10.27+ Amended and Restated Employment Agreement between the Registrant and Mark E. Boulding (incorporated by reference to Exhibit 10.22 to the Registration Statement on Form S-1, as amended (File No. 333-188657), of the Registrant)</w:t>
      </w:r>
    </w:p>
    <w:p>
      <w:pPr>
        <w:spacing w:after="0" w:line="194" w:lineRule="exact"/>
        <w:rPr>
          <w:sz w:val="20"/>
          <w:szCs w:val="20"/>
          <w:color w:val="auto"/>
        </w:rPr>
      </w:pPr>
    </w:p>
    <w:p>
      <w:pPr>
        <w:ind w:left="2180" w:right="60" w:hanging="610"/>
        <w:spacing w:after="0" w:line="332" w:lineRule="auto"/>
        <w:rPr>
          <w:sz w:val="20"/>
          <w:szCs w:val="20"/>
          <w:color w:val="auto"/>
        </w:rPr>
      </w:pPr>
      <w:r>
        <w:rPr>
          <w:rFonts w:ascii="Arial" w:cs="Arial" w:eastAsia="Arial" w:hAnsi="Arial"/>
          <w:sz w:val="16"/>
          <w:szCs w:val="16"/>
          <w:color w:val="auto"/>
        </w:rPr>
        <w:t>10.28+ Employment Agreement between the Registrant and Mark A. Rothera (incorporated by reference to Exhibit 10.23 to the Registration Statement on Form S-1, as amended (File No. 333-188657), of the Registrant)</w:t>
      </w:r>
    </w:p>
    <w:p>
      <w:pPr>
        <w:spacing w:after="0" w:line="139" w:lineRule="exact"/>
        <w:rPr>
          <w:sz w:val="20"/>
          <w:szCs w:val="20"/>
          <w:color w:val="auto"/>
        </w:rPr>
      </w:pPr>
    </w:p>
    <w:p>
      <w:pPr>
        <w:ind w:left="2180" w:right="180" w:hanging="610"/>
        <w:spacing w:after="0" w:line="259" w:lineRule="auto"/>
        <w:rPr>
          <w:sz w:val="20"/>
          <w:szCs w:val="20"/>
          <w:color w:val="auto"/>
        </w:rPr>
      </w:pPr>
      <w:r>
        <w:rPr>
          <w:rFonts w:ascii="Arial" w:cs="Arial" w:eastAsia="Arial" w:hAnsi="Arial"/>
          <w:sz w:val="18"/>
          <w:szCs w:val="18"/>
          <w:color w:val="auto"/>
        </w:rPr>
        <w:t>10.29+ Amended and Restated Employment Agreement between the Registrant and Neil Almstead (incorporated by reference to Exhibit 10.24 to the Registration Statement on Form S-1, as amended (File No. 333-188657), of the Registrant)</w:t>
      </w:r>
    </w:p>
    <w:p>
      <w:pPr>
        <w:spacing w:after="0" w:line="194" w:lineRule="exact"/>
        <w:rPr>
          <w:sz w:val="20"/>
          <w:szCs w:val="20"/>
          <w:color w:val="auto"/>
        </w:rPr>
      </w:pPr>
    </w:p>
    <w:p>
      <w:pPr>
        <w:ind w:left="2180" w:right="80" w:hanging="610"/>
        <w:spacing w:after="0" w:line="332" w:lineRule="auto"/>
        <w:rPr>
          <w:sz w:val="20"/>
          <w:szCs w:val="20"/>
          <w:color w:val="auto"/>
        </w:rPr>
      </w:pPr>
      <w:r>
        <w:rPr>
          <w:rFonts w:ascii="Arial" w:cs="Arial" w:eastAsia="Arial" w:hAnsi="Arial"/>
          <w:sz w:val="16"/>
          <w:szCs w:val="16"/>
          <w:color w:val="auto"/>
        </w:rPr>
        <w:t>10.30+ Employment Agreement between the Registrant and Shane Kovacs (incorporated by reference to Exhibit 10.26 to the Registration Statement on Form S-1, as amended (File No. 333-188657), of the Registrant)</w:t>
      </w:r>
    </w:p>
    <w:p>
      <w:pPr>
        <w:spacing w:after="0" w:line="13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10.31+  Form of Nonstatutory Stock Option Agreement under 2013 Long Term Incentive Plan—Non-employee Director</w:t>
      </w:r>
    </w:p>
    <w:p>
      <w:pPr>
        <w:spacing w:after="0" w:line="248"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10.32+  Form of Restricted Stock Agreement under 2013 Long Term Incentive Plan</w:t>
      </w:r>
    </w:p>
    <w:p>
      <w:pPr>
        <w:spacing w:after="0" w:line="225" w:lineRule="exact"/>
        <w:rPr>
          <w:sz w:val="20"/>
          <w:szCs w:val="20"/>
          <w:color w:val="auto"/>
        </w:rPr>
      </w:pPr>
    </w:p>
    <w:p>
      <w:pPr>
        <w:ind w:left="1660"/>
        <w:spacing w:after="0"/>
        <w:tabs>
          <w:tab w:leader="none" w:pos="21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225" w:lineRule="exact"/>
        <w:rPr>
          <w:sz w:val="20"/>
          <w:szCs w:val="20"/>
          <w:color w:val="auto"/>
        </w:rPr>
      </w:pPr>
    </w:p>
    <w:p>
      <w:pPr>
        <w:ind w:left="1660"/>
        <w:spacing w:after="0"/>
        <w:tabs>
          <w:tab w:leader="none" w:pos="21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Independent Registered Public Accounting Firm</w:t>
      </w:r>
    </w:p>
    <w:p>
      <w:pPr>
        <w:spacing w:after="0" w:line="225" w:lineRule="exact"/>
        <w:rPr>
          <w:sz w:val="20"/>
          <w:szCs w:val="20"/>
          <w:color w:val="auto"/>
        </w:rPr>
      </w:pPr>
    </w:p>
    <w:p>
      <w:pPr>
        <w:ind w:left="1660"/>
        <w:spacing w:after="0"/>
        <w:tabs>
          <w:tab w:leader="none" w:pos="21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the signature page to this Form 10-K)</w:t>
      </w:r>
    </w:p>
    <w:p>
      <w:pPr>
        <w:spacing w:after="0" w:line="225" w:lineRule="exact"/>
        <w:rPr>
          <w:sz w:val="20"/>
          <w:szCs w:val="20"/>
          <w:color w:val="auto"/>
        </w:rPr>
      </w:pPr>
    </w:p>
    <w:p>
      <w:pPr>
        <w:ind w:left="2180" w:right="600" w:hanging="522"/>
        <w:spacing w:after="0" w:line="332" w:lineRule="auto"/>
        <w:tabs>
          <w:tab w:leader="none" w:pos="2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 13a-14(a) or Rule 15d-14(a) of the Securities Exchange Act of 1934, as adopted pursuant to Section 302 of the Sarbanes-Oxley Act of 2002</w:t>
      </w:r>
    </w:p>
    <w:p>
      <w:pPr>
        <w:spacing w:after="0" w:line="139" w:lineRule="exact"/>
        <w:rPr>
          <w:sz w:val="20"/>
          <w:szCs w:val="20"/>
          <w:color w:val="auto"/>
        </w:rPr>
      </w:pPr>
    </w:p>
    <w:p>
      <w:pPr>
        <w:ind w:left="2180" w:right="640" w:hanging="522"/>
        <w:spacing w:after="0" w:line="332" w:lineRule="auto"/>
        <w:tabs>
          <w:tab w:leader="none" w:pos="2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 13a-14(a) or Rule 15d-14(a) of the Securities Exchange Act of 1934, as adopted pursuant to Section 302 of the Sarbanes-Oxley Act of 2002</w:t>
      </w:r>
    </w:p>
    <w:p>
      <w:pPr>
        <w:spacing w:after="0" w:line="139" w:lineRule="exact"/>
        <w:rPr>
          <w:sz w:val="20"/>
          <w:szCs w:val="20"/>
          <w:color w:val="auto"/>
        </w:rPr>
      </w:pPr>
    </w:p>
    <w:p>
      <w:pPr>
        <w:ind w:left="2180" w:right="820" w:hanging="522"/>
        <w:spacing w:after="0" w:line="268" w:lineRule="auto"/>
        <w:tabs>
          <w:tab w:leader="none" w:pos="2160" w:val="left"/>
        </w:tabs>
        <w:rPr>
          <w:sz w:val="20"/>
          <w:szCs w:val="20"/>
          <w:color w:val="auto"/>
        </w:rPr>
      </w:pPr>
      <w:r>
        <w:rPr>
          <w:rFonts w:ascii="Arial" w:cs="Arial" w:eastAsia="Arial" w:hAnsi="Arial"/>
          <w:sz w:val="18"/>
          <w:szCs w:val="18"/>
          <w:color w:val="auto"/>
        </w:rPr>
        <w:t>32.1</w:t>
        <w:tab/>
        <w:t>Certification of Principal Executive Officer pursuant to 18 U.S.C. Section 1350, as adopted pursuant to Section 906 of the Sarbanes-Oxley Act of 2002</w:t>
      </w:r>
    </w:p>
    <w:p>
      <w:pPr>
        <w:spacing w:after="0" w:line="186" w:lineRule="exact"/>
        <w:rPr>
          <w:sz w:val="20"/>
          <w:szCs w:val="20"/>
          <w:color w:val="auto"/>
        </w:rPr>
      </w:pPr>
    </w:p>
    <w:p>
      <w:pPr>
        <w:ind w:left="2180" w:hanging="522"/>
        <w:spacing w:after="0" w:line="268" w:lineRule="auto"/>
        <w:tabs>
          <w:tab w:leader="none" w:pos="2160" w:val="left"/>
        </w:tabs>
        <w:rPr>
          <w:sz w:val="20"/>
          <w:szCs w:val="20"/>
          <w:color w:val="auto"/>
        </w:rPr>
      </w:pPr>
      <w:r>
        <w:rPr>
          <w:rFonts w:ascii="Arial" w:cs="Arial" w:eastAsia="Arial" w:hAnsi="Arial"/>
          <w:sz w:val="18"/>
          <w:szCs w:val="18"/>
          <w:color w:val="auto"/>
        </w:rPr>
        <w:t>32.2</w:t>
        <w:tab/>
        <w:t>Certification of Principal Financial Officer pursuant to 18 U.S.C. Section 1350, as adopted 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00" w:type="dxa"/>
            <w:vAlign w:val="bottom"/>
          </w:tcPr>
          <w:p>
            <w:pPr>
              <w:jc w:val="right"/>
              <w:ind w:right="117"/>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740" w:type="dxa"/>
            <w:vAlign w:val="bottom"/>
          </w:tcPr>
          <w:p>
            <w:pPr>
              <w:spacing w:after="0"/>
              <w:rPr>
                <w:sz w:val="14"/>
                <w:szCs w:val="14"/>
                <w:color w:val="auto"/>
              </w:rPr>
            </w:pPr>
          </w:p>
        </w:tc>
      </w:tr>
      <w:tr>
        <w:trPr>
          <w:trHeight w:val="161"/>
        </w:trPr>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17"/>
        </w:trPr>
        <w:tc>
          <w:tcPr>
            <w:tcW w:w="800" w:type="dxa"/>
            <w:vAlign w:val="bottom"/>
          </w:tcPr>
          <w:p>
            <w:pPr>
              <w:jc w:val="right"/>
              <w:spacing w:after="0"/>
              <w:rPr>
                <w:sz w:val="20"/>
                <w:szCs w:val="20"/>
                <w:color w:val="auto"/>
              </w:rPr>
            </w:pPr>
            <w:r>
              <w:rPr>
                <w:rFonts w:ascii="Arial" w:cs="Arial" w:eastAsia="Arial" w:hAnsi="Arial"/>
                <w:sz w:val="18"/>
                <w:szCs w:val="18"/>
                <w:color w:val="auto"/>
              </w:rPr>
              <w:t>101.SCH</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800" w:type="dxa"/>
            <w:vAlign w:val="bottom"/>
          </w:tcPr>
          <w:p>
            <w:pPr>
              <w:jc w:val="right"/>
              <w:spacing w:after="0"/>
              <w:rPr>
                <w:sz w:val="20"/>
                <w:szCs w:val="20"/>
                <w:color w:val="auto"/>
              </w:rPr>
            </w:pPr>
            <w:r>
              <w:rPr>
                <w:rFonts w:ascii="Arial" w:cs="Arial" w:eastAsia="Arial" w:hAnsi="Arial"/>
                <w:sz w:val="18"/>
                <w:szCs w:val="18"/>
                <w:color w:val="auto"/>
              </w:rPr>
              <w:t>101.CAL</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101.LAB</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 Database</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101.PRE</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101.DEF</w:t>
            </w:r>
          </w:p>
        </w:tc>
        <w:tc>
          <w:tcPr>
            <w:tcW w:w="83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110"/>
        </w:trPr>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213" w:lineRule="exact"/>
        <w:rPr>
          <w:sz w:val="20"/>
          <w:szCs w:val="20"/>
          <w:color w:val="auto"/>
        </w:rPr>
      </w:pPr>
    </w:p>
    <w:p>
      <w:pPr>
        <w:ind w:left="1680" w:hanging="531"/>
        <w:spacing w:after="0"/>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1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Stockholders may obtain (without charge) a copy of this Annual Report on Form 10-K (including the financial statements and financials statement schedules) and a copy of any exhibit thereto (upon payment of a fee limited to our reasonable expenses in furnishing such exhibit) by writing to PTC Therapeutics, Inc., 100 Corporate Court, South Plainfield, New Jersey 07080.</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Pursuant to the requirements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PTC THERAPEUTICS, INC.</w:t>
      </w:r>
    </w:p>
    <w:p>
      <w:pPr>
        <w:spacing w:after="0" w:line="258" w:lineRule="exact"/>
        <w:rPr>
          <w:sz w:val="20"/>
          <w:szCs w:val="20"/>
          <w:color w:val="auto"/>
        </w:rPr>
      </w:pPr>
    </w:p>
    <w:p>
      <w:pPr>
        <w:spacing w:after="0"/>
        <w:tabs>
          <w:tab w:leader="none" w:pos="5700" w:val="left"/>
          <w:tab w:leader="none" w:pos="7940" w:val="left"/>
        </w:tabs>
        <w:rPr>
          <w:sz w:val="20"/>
          <w:szCs w:val="20"/>
          <w:color w:val="auto"/>
        </w:rPr>
      </w:pPr>
      <w:r>
        <w:rPr>
          <w:rFonts w:ascii="Arial" w:cs="Arial" w:eastAsia="Arial" w:hAnsi="Arial"/>
          <w:sz w:val="18"/>
          <w:szCs w:val="18"/>
          <w:color w:val="auto"/>
        </w:rPr>
        <w:t>Date: February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Stuart W. Peltz, Ph.D.</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the undersigned officers and directors of PTC Therapeutics, Inc., hereby severally constitute and appoint Stuart W. Peltz and Mark E. Boulding,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7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to the requirements of the Securities Exchange Act of 1934, this report has been signed below by the following persons on behalf of the registrant and in the capacities and on the dates indicated.</w:t>
      </w:r>
    </w:p>
    <w:p>
      <w:pPr>
        <w:spacing w:after="0" w:line="186" w:lineRule="exact"/>
        <w:rPr>
          <w:sz w:val="20"/>
          <w:szCs w:val="20"/>
          <w:color w:val="auto"/>
        </w:rPr>
      </w:pPr>
    </w:p>
    <w:p>
      <w:pPr>
        <w:ind w:left="1140"/>
        <w:spacing w:after="0"/>
        <w:tabs>
          <w:tab w:leader="none" w:pos="5680" w:val="left"/>
          <w:tab w:leader="none" w:pos="7320" w:val="left"/>
        </w:tabs>
        <w:rPr>
          <w:sz w:val="20"/>
          <w:szCs w:val="20"/>
          <w:color w:val="auto"/>
        </w:rPr>
      </w:pPr>
      <w:r>
        <w:rPr>
          <w:rFonts w:ascii="Arial" w:cs="Arial" w:eastAsia="Arial" w:hAnsi="Arial"/>
          <w:sz w:val="18"/>
          <w:szCs w:val="18"/>
          <w:color w:val="auto"/>
        </w:rPr>
        <w:t>Dated: February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Stuart W. Peltz</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46" w:lineRule="exact"/>
        <w:rPr>
          <w:sz w:val="20"/>
          <w:szCs w:val="20"/>
          <w:color w:val="auto"/>
        </w:rPr>
      </w:pPr>
    </w:p>
    <w:p>
      <w:pPr>
        <w:ind w:left="1140"/>
        <w:spacing w:after="0"/>
        <w:tabs>
          <w:tab w:leader="none" w:pos="5680" w:val="left"/>
          <w:tab w:leader="none" w:pos="7400" w:val="left"/>
        </w:tabs>
        <w:rPr>
          <w:sz w:val="20"/>
          <w:szCs w:val="20"/>
          <w:color w:val="auto"/>
        </w:rPr>
      </w:pPr>
      <w:r>
        <w:rPr>
          <w:rFonts w:ascii="Arial" w:cs="Arial" w:eastAsia="Arial" w:hAnsi="Arial"/>
          <w:sz w:val="18"/>
          <w:szCs w:val="18"/>
          <w:color w:val="auto"/>
        </w:rPr>
        <w:t>Dated: February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SHANE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Shane Kovacs</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46" w:lineRule="exact"/>
        <w:rPr>
          <w:sz w:val="20"/>
          <w:szCs w:val="20"/>
          <w:color w:val="auto"/>
        </w:rPr>
      </w:pPr>
    </w:p>
    <w:p>
      <w:pPr>
        <w:ind w:left="1140"/>
        <w:spacing w:after="0"/>
        <w:tabs>
          <w:tab w:leader="none" w:pos="5680" w:val="left"/>
          <w:tab w:leader="none" w:pos="7020" w:val="left"/>
        </w:tabs>
        <w:rPr>
          <w:sz w:val="20"/>
          <w:szCs w:val="20"/>
          <w:color w:val="auto"/>
        </w:rPr>
      </w:pPr>
      <w:r>
        <w:rPr>
          <w:rFonts w:ascii="Arial" w:cs="Arial" w:eastAsia="Arial" w:hAnsi="Arial"/>
          <w:sz w:val="18"/>
          <w:szCs w:val="18"/>
          <w:color w:val="auto"/>
        </w:rPr>
        <w:t>Dated: February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SCHMERTZLER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Michael Schmertzler</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Director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30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51"/>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Dated: February 29, 2016</w:t>
            </w:r>
          </w:p>
        </w:tc>
        <w:tc>
          <w:tcPr>
            <w:tcW w:w="1840" w:type="dxa"/>
            <w:vAlign w:val="bottom"/>
          </w:tcPr>
          <w:p>
            <w:pPr>
              <w:ind w:left="144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color w:val="auto"/>
                <w:w w:val="93"/>
              </w:rPr>
              <w:t>/s/ ALLAN JACOBSON</w:t>
            </w:r>
          </w:p>
        </w:tc>
      </w:tr>
      <w:tr>
        <w:trPr>
          <w:trHeight w:val="97"/>
        </w:trPr>
        <w:tc>
          <w:tcPr>
            <w:tcW w:w="1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Allan Jacobson</w:t>
            </w:r>
          </w:p>
        </w:tc>
      </w:tr>
      <w:tr>
        <w:trPr>
          <w:trHeight w:val="222"/>
        </w:trPr>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Dated: February 29, 2016</w:t>
            </w:r>
          </w:p>
        </w:tc>
        <w:tc>
          <w:tcPr>
            <w:tcW w:w="1840" w:type="dxa"/>
            <w:vAlign w:val="bottom"/>
          </w:tcPr>
          <w:p>
            <w:pPr>
              <w:ind w:left="144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94"/>
              </w:rPr>
              <w:t>/s/ ADAM KOPPEL</w:t>
            </w:r>
          </w:p>
        </w:tc>
      </w:tr>
      <w:tr>
        <w:trPr>
          <w:trHeight w:val="97"/>
        </w:trPr>
        <w:tc>
          <w:tcPr>
            <w:tcW w:w="1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color w:val="auto"/>
                <w:w w:val="90"/>
              </w:rPr>
              <w:t>Adam Koppel</w:t>
            </w:r>
          </w:p>
        </w:tc>
      </w:tr>
      <w:tr>
        <w:trPr>
          <w:trHeight w:val="222"/>
        </w:trPr>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Dated: February 29, 2016</w:t>
            </w:r>
          </w:p>
        </w:tc>
        <w:tc>
          <w:tcPr>
            <w:tcW w:w="1840" w:type="dxa"/>
            <w:vAlign w:val="bottom"/>
          </w:tcPr>
          <w:p>
            <w:pPr>
              <w:ind w:left="144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92"/>
              </w:rPr>
              <w:t>/s/ GEOFFREY MCDONOUGH</w:t>
            </w:r>
          </w:p>
        </w:tc>
      </w:tr>
      <w:tr>
        <w:trPr>
          <w:trHeight w:val="97"/>
        </w:trPr>
        <w:tc>
          <w:tcPr>
            <w:tcW w:w="1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91"/>
              </w:rPr>
              <w:t>Geoffrey McDonough</w:t>
            </w:r>
          </w:p>
        </w:tc>
      </w:tr>
      <w:tr>
        <w:trPr>
          <w:trHeight w:val="222"/>
        </w:trPr>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Dated: February 29, 2016</w:t>
            </w:r>
          </w:p>
        </w:tc>
        <w:tc>
          <w:tcPr>
            <w:tcW w:w="1840" w:type="dxa"/>
            <w:vAlign w:val="bottom"/>
          </w:tcPr>
          <w:p>
            <w:pPr>
              <w:ind w:left="144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93"/>
              </w:rPr>
              <w:t>/s/ RONALD C. RENAUD, JR.</w:t>
            </w:r>
          </w:p>
        </w:tc>
      </w:tr>
      <w:tr>
        <w:trPr>
          <w:trHeight w:val="97"/>
        </w:trPr>
        <w:tc>
          <w:tcPr>
            <w:tcW w:w="1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color w:val="auto"/>
                <w:w w:val="86"/>
              </w:rPr>
              <w:t>Ronald C. Renaud, Jr.</w:t>
            </w:r>
          </w:p>
        </w:tc>
      </w:tr>
      <w:tr>
        <w:trPr>
          <w:trHeight w:val="222"/>
        </w:trPr>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Dated: February 29, 2016</w:t>
            </w:r>
          </w:p>
        </w:tc>
        <w:tc>
          <w:tcPr>
            <w:tcW w:w="1840" w:type="dxa"/>
            <w:vAlign w:val="bottom"/>
          </w:tcPr>
          <w:p>
            <w:pPr>
              <w:ind w:left="144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93"/>
              </w:rPr>
              <w:t>/s/ DAVID P. SOUTHWELL</w:t>
            </w:r>
          </w:p>
        </w:tc>
      </w:tr>
      <w:tr>
        <w:trPr>
          <w:trHeight w:val="97"/>
        </w:trPr>
        <w:tc>
          <w:tcPr>
            <w:tcW w:w="1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color w:val="auto"/>
                <w:w w:val="88"/>
              </w:rPr>
              <w:t>David P. Southwell</w:t>
            </w:r>
          </w:p>
        </w:tc>
      </w:tr>
      <w:tr>
        <w:trPr>
          <w:trHeight w:val="222"/>
        </w:trPr>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Dated: February 29, 2016</w:t>
            </w:r>
          </w:p>
        </w:tc>
        <w:tc>
          <w:tcPr>
            <w:tcW w:w="1840" w:type="dxa"/>
            <w:vAlign w:val="bottom"/>
          </w:tcPr>
          <w:p>
            <w:pPr>
              <w:ind w:left="144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92"/>
              </w:rPr>
              <w:t>/s/ GLENN STEELE</w:t>
            </w:r>
          </w:p>
        </w:tc>
      </w:tr>
      <w:tr>
        <w:trPr>
          <w:trHeight w:val="97"/>
        </w:trPr>
        <w:tc>
          <w:tcPr>
            <w:tcW w:w="1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color w:val="auto"/>
                <w:w w:val="86"/>
              </w:rPr>
              <w:t>Glenn Steele</w:t>
            </w:r>
          </w:p>
        </w:tc>
      </w:tr>
      <w:tr>
        <w:trPr>
          <w:trHeight w:val="222"/>
        </w:trPr>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4260" w:type="dxa"/>
            <w:vAlign w:val="bottom"/>
            <w:gridSpan w:val="2"/>
          </w:tcPr>
          <w:p>
            <w:pPr>
              <w:ind w:left="1140"/>
              <w:spacing w:after="0"/>
              <w:rPr>
                <w:sz w:val="20"/>
                <w:szCs w:val="20"/>
                <w:color w:val="auto"/>
              </w:rPr>
            </w:pPr>
            <w:r>
              <w:rPr>
                <w:rFonts w:ascii="Arial" w:cs="Arial" w:eastAsia="Arial" w:hAnsi="Arial"/>
                <w:sz w:val="18"/>
                <w:szCs w:val="18"/>
                <w:color w:val="auto"/>
              </w:rPr>
              <w:t>Dated: February 29, 2016</w:t>
            </w:r>
          </w:p>
        </w:tc>
        <w:tc>
          <w:tcPr>
            <w:tcW w:w="1840" w:type="dxa"/>
            <w:vAlign w:val="bottom"/>
          </w:tcPr>
          <w:p>
            <w:pPr>
              <w:ind w:left="144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/s/ JEROME B. ZELDIS</w:t>
            </w:r>
          </w:p>
        </w:tc>
      </w:tr>
      <w:tr>
        <w:trPr>
          <w:trHeight w:val="97"/>
        </w:trPr>
        <w:tc>
          <w:tcPr>
            <w:tcW w:w="12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Jerome B. Zeldis</w:t>
            </w:r>
          </w:p>
        </w:tc>
      </w:tr>
      <w:tr>
        <w:trPr>
          <w:trHeight w:val="222"/>
        </w:trPr>
        <w:tc>
          <w:tcPr>
            <w:tcW w:w="1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5"/>
              </w:rPr>
              <w:t>Director</w:t>
            </w:r>
          </w:p>
        </w:tc>
      </w:tr>
      <w:tr>
        <w:trPr>
          <w:trHeight w:val="432"/>
        </w:trPr>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40" w:type="dxa"/>
            <w:vAlign w:val="bottom"/>
          </w:tcPr>
          <w:p>
            <w:pPr>
              <w:ind w:left="1320"/>
              <w:spacing w:after="0"/>
              <w:rPr>
                <w:sz w:val="20"/>
                <w:szCs w:val="20"/>
                <w:color w:val="auto"/>
              </w:rPr>
            </w:pPr>
            <w:r>
              <w:rPr>
                <w:rFonts w:ascii="Arial" w:cs="Arial" w:eastAsia="Arial" w:hAnsi="Arial"/>
                <w:sz w:val="18"/>
                <w:szCs w:val="18"/>
                <w:color w:val="auto"/>
              </w:rPr>
              <w:t>182</w:t>
            </w:r>
          </w:p>
        </w:tc>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26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85" w:name="page186"/>
    <w:bookmarkEnd w:id="1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Nonstatutory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Granted Under 2013 Long-Term Incentive Plan</w:t>
      </w:r>
    </w:p>
    <w:p>
      <w:pPr>
        <w:spacing w:after="0" w:line="211"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9600" w:val="left"/>
        </w:tabs>
        <w:rPr>
          <w:sz w:val="20"/>
          <w:szCs w:val="20"/>
          <w:color w:val="auto"/>
        </w:rPr>
      </w:pPr>
      <w:r>
        <w:rPr>
          <w:rFonts w:ascii="Arial" w:cs="Arial" w:eastAsia="Arial" w:hAnsi="Arial"/>
          <w:sz w:val="18"/>
          <w:szCs w:val="18"/>
          <w:color w:val="auto"/>
        </w:rPr>
        <w:t>This Agreement evidences the grant by PTC Therapeutics, Inc., a Delaware corporation (the “Company”), on</w:t>
      </w:r>
      <w:r>
        <w:rPr>
          <w:sz w:val="20"/>
          <w:szCs w:val="20"/>
          <w:color w:val="auto"/>
        </w:rPr>
        <w:tab/>
      </w:r>
      <w:r>
        <w:rPr>
          <w:rFonts w:ascii="Arial" w:cs="Arial" w:eastAsia="Arial" w:hAnsi="Arial"/>
          <w:sz w:val="16"/>
          <w:szCs w:val="16"/>
          <w:color w:val="auto"/>
        </w:rPr>
        <w:t>(the “Grant Date”) to</w:t>
      </w:r>
    </w:p>
    <w:p>
      <w:pPr>
        <w:spacing w:after="0" w:line="23" w:lineRule="exact"/>
        <w:rPr>
          <w:sz w:val="20"/>
          <w:szCs w:val="20"/>
          <w:color w:val="auto"/>
        </w:rPr>
      </w:pPr>
    </w:p>
    <w:p>
      <w:pPr>
        <w:ind w:left="1040" w:hanging="87"/>
        <w:spacing w:after="0"/>
        <w:tabs>
          <w:tab w:leader="none" w:pos="10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director of the Company (the “Participant”), of an option to purchase, in whole or in part, on the terms provided herein and in the Company’s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2013 Long-Term Incentive Plan (the “Plan”), a total of</w:t>
      </w:r>
      <w:r>
        <w:rPr>
          <w:rFonts w:ascii="Arial" w:cs="Arial" w:eastAsia="Arial" w:hAnsi="Arial"/>
          <w:sz w:val="16"/>
          <w:szCs w:val="16"/>
          <w:color w:val="auto"/>
        </w:rPr>
        <w:t>shares (the “Shares”) of common stock, $0.001 par value per share, of the Company (“Common</w:t>
      </w:r>
    </w:p>
    <w:p>
      <w:pPr>
        <w:spacing w:after="0" w:line="9" w:lineRule="exact"/>
        <w:rPr>
          <w:sz w:val="20"/>
          <w:szCs w:val="20"/>
          <w:color w:val="auto"/>
        </w:rPr>
      </w:pPr>
    </w:p>
    <w:p>
      <w:pPr>
        <w:spacing w:after="0"/>
        <w:tabs>
          <w:tab w:leader="none" w:pos="1480" w:val="left"/>
          <w:tab w:leader="none" w:pos="8920" w:val="left"/>
        </w:tabs>
        <w:rPr>
          <w:sz w:val="20"/>
          <w:szCs w:val="20"/>
          <w:color w:val="auto"/>
        </w:rPr>
      </w:pPr>
      <w:r>
        <w:rPr>
          <w:rFonts w:ascii="Arial" w:cs="Arial" w:eastAsia="Arial" w:hAnsi="Arial"/>
          <w:sz w:val="18"/>
          <w:szCs w:val="18"/>
          <w:color w:val="auto"/>
        </w:rPr>
        <w:t>Stock”) at $</w:t>
      </w:r>
      <w:r>
        <w:rPr>
          <w:sz w:val="20"/>
          <w:szCs w:val="20"/>
          <w:color w:val="auto"/>
        </w:rPr>
        <w:tab/>
      </w:r>
      <w:r>
        <w:rPr>
          <w:rFonts w:ascii="Arial" w:cs="Arial" w:eastAsia="Arial" w:hAnsi="Arial"/>
          <w:sz w:val="18"/>
          <w:szCs w:val="18"/>
          <w:color w:val="auto"/>
        </w:rPr>
        <w:t>per Share. Unless earlier terminated, this option shall expire at 5:00 p.m., Eastern time, on</w:t>
      </w:r>
      <w:r>
        <w:rPr>
          <w:sz w:val="20"/>
          <w:szCs w:val="20"/>
          <w:color w:val="auto"/>
        </w:rPr>
        <w:tab/>
      </w:r>
      <w:r>
        <w:rPr>
          <w:rFonts w:ascii="Arial" w:cs="Arial" w:eastAsia="Arial" w:hAnsi="Arial"/>
          <w:sz w:val="16"/>
          <w:szCs w:val="16"/>
          <w:color w:val="auto"/>
        </w:rPr>
        <w:t>(the “Final Exercise Date”).</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166"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This option will become exercisable (“vest”) in twelve equal installments, commencing on the one (1) month anniversary of the Grant Date, continuing on each successive monthly anniversary of the Grant Date thereafter, and ending on the one (1) year anniversary of the Grant Date.</w:t>
      </w:r>
    </w:p>
    <w:p>
      <w:pPr>
        <w:spacing w:after="0" w:line="12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81"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656"/>
        <w:spacing w:after="0" w:line="286" w:lineRule="auto"/>
        <w:tabs>
          <w:tab w:leader="none" w:pos="1294"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Form of Exercise</w:t>
      </w:r>
      <w:r>
        <w:rPr>
          <w:rFonts w:ascii="Arial" w:cs="Arial" w:eastAsia="Arial" w:hAnsi="Arial"/>
          <w:sz w:val="17"/>
          <w:szCs w:val="17"/>
          <w:color w:val="auto"/>
        </w:rPr>
        <w:t>. Each election to exercise this option shall be in writing,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w:t>
      </w:r>
    </w:p>
    <w:p>
      <w:pPr>
        <w:spacing w:after="0" w:line="165" w:lineRule="exact"/>
        <w:rPr>
          <w:rFonts w:ascii="Arial" w:cs="Arial" w:eastAsia="Arial" w:hAnsi="Arial"/>
          <w:sz w:val="17"/>
          <w:szCs w:val="17"/>
          <w:color w:val="auto"/>
        </w:rPr>
      </w:pPr>
    </w:p>
    <w:p>
      <w:pPr>
        <w:jc w:val="both"/>
        <w:ind w:right="280" w:firstLine="656"/>
        <w:spacing w:after="0" w:line="259" w:lineRule="auto"/>
        <w:tabs>
          <w:tab w:leader="none" w:pos="130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Continuous Relationship with the Company Required</w:t>
      </w:r>
      <w:r>
        <w:rPr>
          <w:rFonts w:ascii="Arial" w:cs="Arial" w:eastAsia="Arial" w:hAnsi="Arial"/>
          <w:sz w:val="18"/>
          <w:szCs w:val="18"/>
          <w:color w:val="auto"/>
        </w:rPr>
        <w:t>. Except as otherwise provided in this Section 3, this option may not be exercised unless the Participant, at the time he or she exercises this option, is, and has been at all times since the Grant Date, an employee, officer or a director of, or consultant or advisor to, the Company or any other entity the employees, officers, directors, consultants, or advisors of which are eligible to receive option grants under the Plan (an “Eligible Participant”).</w:t>
      </w:r>
    </w:p>
    <w:p>
      <w:pPr>
        <w:spacing w:after="0" w:line="186" w:lineRule="exact"/>
        <w:rPr>
          <w:rFonts w:ascii="Arial" w:cs="Arial" w:eastAsia="Arial" w:hAnsi="Arial"/>
          <w:sz w:val="18"/>
          <w:szCs w:val="18"/>
          <w:color w:val="auto"/>
        </w:rPr>
      </w:pPr>
    </w:p>
    <w:p>
      <w:pPr>
        <w:ind w:right="40" w:firstLine="656"/>
        <w:spacing w:after="0" w:line="255" w:lineRule="auto"/>
        <w:tabs>
          <w:tab w:leader="none" w:pos="1307"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with the Company</w:t>
      </w:r>
      <w:r>
        <w:rPr>
          <w:rFonts w:ascii="Arial" w:cs="Arial" w:eastAsia="Arial" w:hAnsi="Arial"/>
          <w:sz w:val="18"/>
          <w:szCs w:val="18"/>
          <w:color w:val="auto"/>
        </w:rPr>
        <w:t xml:space="preserve">. If the Participant ceases to be an Eligible Participant for any reason, then, except as provided in Section 3(e) of this Agreement, the Participant’s right to exercise this option shall terminate three years after such cessation (but in no event after the Final Exercise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be exercisable only to the extent that the Participant was entitled to exercise this option on the date of such cessation. Notwithstanding the foregoing or any other provision of this Agreement,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written notice to the Participant from the Company describing such violation.</w:t>
      </w:r>
    </w:p>
    <w:p>
      <w:pPr>
        <w:spacing w:after="0" w:line="189" w:lineRule="exact"/>
        <w:rPr>
          <w:rFonts w:ascii="Arial" w:cs="Arial" w:eastAsia="Arial" w:hAnsi="Arial"/>
          <w:sz w:val="18"/>
          <w:szCs w:val="18"/>
          <w:color w:val="auto"/>
        </w:rPr>
      </w:pPr>
    </w:p>
    <w:p>
      <w:pPr>
        <w:ind w:right="60" w:firstLine="656"/>
        <w:spacing w:after="0" w:line="255" w:lineRule="auto"/>
        <w:tabs>
          <w:tab w:leader="none" w:pos="130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Accelerated Vesting and Exercise Period Upon Death or Disability</w:t>
      </w:r>
      <w:r>
        <w:rPr>
          <w:rFonts w:ascii="Arial" w:cs="Arial" w:eastAsia="Arial" w:hAnsi="Arial"/>
          <w:sz w:val="18"/>
          <w:szCs w:val="18"/>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Section 3(e) of this Agreement, one hundred percent (100%) of the unvested portion of the option award granted hereunder shall vest immediately on the date of death or disability of the Participant and this option shall be exercisable, within the period of three years following the date of the death or disability of the Participant, by the Participant (or in the case of death by an authorized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not be exercisable after the Final Exercise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firstLine="656"/>
        <w:spacing w:after="0" w:line="284" w:lineRule="auto"/>
        <w:tabs>
          <w:tab w:leader="none" w:pos="1307"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prior to the Final Exercise Date, the Participant is given notice by the Company of the termination of his or her employment or other relationship by the Company for Cause, and the effective date of such employment or other termination is subsequent to the date of the delivery of such notice, the right to exercise this option shall be suspended from the time of the delivery of such notice until the earlier of (i) such time as it is determined or otherwise agreed that the Participant’s employment or other relationship shall not be terminated for Cause as provided in such notice or</w:t>
      </w:r>
    </w:p>
    <w:p>
      <w:pPr>
        <w:spacing w:after="0" w:line="4" w:lineRule="exact"/>
        <w:rPr>
          <w:rFonts w:ascii="Arial" w:cs="Arial" w:eastAsia="Arial" w:hAnsi="Arial"/>
          <w:sz w:val="16"/>
          <w:szCs w:val="16"/>
          <w:color w:val="auto"/>
        </w:rPr>
      </w:pPr>
    </w:p>
    <w:p>
      <w:pPr>
        <w:ind w:right="100" w:firstLine="8"/>
        <w:spacing w:after="0" w:line="287" w:lineRule="auto"/>
        <w:tabs>
          <w:tab w:leader="none" w:pos="26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effective date of such termination of employment or other relationship (in which case the right to exercise this option shall, pursuant to the preceding sentence, terminate immediately upon the effective date of such termination of employment or other relationship). If the Participant is party to an employment, consulting or severance agreement with the Company that contains a definition of “cause” for termination of employment or other relationship,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resignation, that termination for Cause was warranted.</w:t>
      </w:r>
    </w:p>
    <w:p>
      <w:pPr>
        <w:spacing w:after="0" w:line="170" w:lineRule="exact"/>
        <w:rPr>
          <w:rFonts w:ascii="Arial" w:cs="Arial" w:eastAsia="Arial" w:hAnsi="Arial"/>
          <w:sz w:val="16"/>
          <w:szCs w:val="16"/>
          <w:color w:val="auto"/>
        </w:rPr>
      </w:pPr>
    </w:p>
    <w:p>
      <w:pPr>
        <w:ind w:right="140" w:firstLine="656"/>
        <w:spacing w:after="0" w:line="259" w:lineRule="auto"/>
        <w:tabs>
          <w:tab w:leader="none" w:pos="1301"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Accelerated Vesting and Exercise Period Upon a Corporate Change</w:t>
      </w:r>
      <w:r>
        <w:rPr>
          <w:rFonts w:ascii="Arial" w:cs="Arial" w:eastAsia="Arial" w:hAnsi="Arial"/>
          <w:sz w:val="18"/>
          <w:szCs w:val="18"/>
          <w:color w:val="auto"/>
        </w:rPr>
        <w:t xml:space="preserve">. Upon a Corporate Change, as defined in Section 3(g) of this Agreement, one hundred percent (100%) of the unvested portion of the option award granted hereunder shall vest immediately and this option shall be exercisable, within the period of three years following the date of the Corporate Change, by the Participant,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option shall not be exercisable after the Final Exercise Date.</w:t>
      </w:r>
    </w:p>
    <w:p>
      <w:pPr>
        <w:sectPr>
          <w:pgSz w:w="11900" w:h="16872" w:orient="portrait"/>
          <w:cols w:equalWidth="0" w:num="1">
            <w:col w:w="11420"/>
          </w:cols>
          <w:pgMar w:left="240" w:top="364" w:right="239" w:bottom="0" w:gutter="0" w:footer="0" w:header="0"/>
        </w:sectPr>
      </w:pPr>
    </w:p>
    <w:bookmarkStart w:id="187" w:name="page188"/>
    <w:bookmarkEnd w:id="187"/>
    <w:p>
      <w:pPr>
        <w:ind w:right="100" w:firstLine="656"/>
        <w:spacing w:after="0" w:line="267" w:lineRule="auto"/>
        <w:tabs>
          <w:tab w:leader="none" w:pos="1317"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Definition of “Corporate Change”</w:t>
      </w:r>
      <w:r>
        <w:rPr>
          <w:rFonts w:ascii="Arial" w:cs="Arial" w:eastAsia="Arial" w:hAnsi="Arial"/>
          <w:sz w:val="17"/>
          <w:szCs w:val="17"/>
          <w:color w:val="auto"/>
        </w:rPr>
        <w:t>. For purposes of this Agreement, “Corporate Change” shall mean any circumstance in which (i) the Company is not the surviving entity in any merger, consolidation or other reorganization (or survives only as a subsidiary or affiliate of an entity other than a previously wholly-owned subsidiary of the Company); (ii) the Company sells, leases or exchanges or agrees to sell, lease or exchange all or substantially all of its assets to any other person or entity (other than a wholly-owned subsidiary of the Company); (iii) any person or entity, including a “group” as contemplated by Section 13(d)(3) of the U.S. Securities Exchange Act of 1934, as amended (excluding, for this purpose, the Company or any Subsidiary, or any employee benefit plan of the Company or any Subsidiary, or any “group” in which all or substantially all of its members or its members’ affiliates are individuals or entities who are or were beneficial owners of the Company’s outstanding shares prior to the initial public offering, if any, of the Company’s stock), acquires or gains ownership or control (including, without limitations, powers to vote) of more than 50% of the outstanding shares of the Company’s voting stock (based upon voting power); or (iv) as a result of or in connection with a contested election of directors, the persons who were directors of the Company before such election shall cease to constitute a majority of the Board of Directors of the Company. Notwithstanding the foregoing, a “Corporate Change” shall not occur as a result of an initial public offering of the Company’s common stock, or as a result of a merger, consolidation, reorganization or restructuring after which either (1) a majority of the Board of Directors of the controlling entity consists of persons who were directors of the Company prior to the merger, consolidation, reorganization or restructuring or (2) the Participant forms part of an executive management team that consists of substantially the same group of individuals and the Participant is performing in a similar role, with similar authority and responsibility (other than changes solely attributable to the change in ownership structure), to that which existed prior to the reorganization or restructuring. Notwithstanding the foregoing, for any payments or benefits hereunder that are subject to Section 409A, the Corporate Change must constitute a “change in control event” within the meaning of Treasury Regulation Section 1.409A-3(i)(5)(i).</w:t>
      </w:r>
    </w:p>
    <w:p>
      <w:pPr>
        <w:spacing w:after="0" w:line="192" w:lineRule="exact"/>
        <w:rPr>
          <w:rFonts w:ascii="Arial" w:cs="Arial" w:eastAsia="Arial" w:hAnsi="Arial"/>
          <w:sz w:val="17"/>
          <w:szCs w:val="17"/>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Agreement in Connection with Public Offering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Participant agrees, in connection with any underwritten public offering of the Common Stock pursuant to a registration statement under the</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Rule 2711(f) of the National Association of Securities Dealers,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1"/>
        <w:spacing w:after="0" w:line="264" w:lineRule="auto"/>
        <w:rPr>
          <w:sz w:val="20"/>
          <w:szCs w:val="20"/>
          <w:color w:val="auto"/>
        </w:rPr>
      </w:pPr>
      <w:r>
        <w:rPr>
          <w:rFonts w:ascii="Arial" w:cs="Arial" w:eastAsia="Arial" w:hAnsi="Arial"/>
          <w:sz w:val="18"/>
          <w:szCs w:val="18"/>
          <w:color w:val="auto"/>
        </w:rPr>
        <w:t>Inc.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any applicable “lock-up” period(s).</w:t>
      </w:r>
    </w:p>
    <w:p>
      <w:pPr>
        <w:spacing w:after="0" w:line="18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00" w:firstLine="656"/>
        <w:spacing w:after="0" w:line="264" w:lineRule="auto"/>
        <w:tabs>
          <w:tab w:leader="none" w:pos="1294"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p>
    <w:p>
      <w:pPr>
        <w:spacing w:after="0" w:line="225" w:lineRule="exact"/>
        <w:rPr>
          <w:rFonts w:ascii="Arial" w:cs="Arial" w:eastAsia="Arial" w:hAnsi="Arial"/>
          <w:sz w:val="18"/>
          <w:szCs w:val="18"/>
          <w:color w:val="auto"/>
        </w:rPr>
      </w:pPr>
    </w:p>
    <w:p>
      <w:pPr>
        <w:ind w:firstLine="656"/>
        <w:spacing w:after="0" w:line="342" w:lineRule="auto"/>
        <w:tabs>
          <w:tab w:leader="none" w:pos="1294"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23" w:lineRule="exact"/>
        <w:rPr>
          <w:rFonts w:ascii="Arial" w:cs="Arial" w:eastAsia="Arial" w:hAnsi="Arial"/>
          <w:sz w:val="16"/>
          <w:szCs w:val="16"/>
          <w:color w:val="auto"/>
        </w:rPr>
      </w:pPr>
    </w:p>
    <w:p>
      <w:pPr>
        <w:ind w:right="180" w:firstLine="656"/>
        <w:spacing w:after="0" w:line="259" w:lineRule="auto"/>
        <w:tabs>
          <w:tab w:leader="none" w:pos="1304"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a written confirmation shall not be required with respect to Section 4 upon the completion of any applicable “lock-up” period(s) in connection with any underwritten public offering of Common Stock.</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Provisions of the Plan.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option is subject to the provisions of the Plan (including the provisions relating to amendments to the Plan), a copy of which is furnished to the Participant with this option.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caused this option to be executed by its duly authorized officer.</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PTC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5715</wp:posOffset>
            </wp:positionV>
            <wp:extent cx="31216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PARTICIPANT’S ACCEPTANCE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undersigned hereby accepts the foregoing option and agrees to the terms and conditions thereof. The undersigned hereby acknowledges receipt of a copy of the Company’s 2013 Long-Term Incentive Plan</w:t>
      </w:r>
      <w:r>
        <w:rPr>
          <w:rFonts w:ascii="Arial" w:cs="Arial" w:eastAsia="Arial" w:hAnsi="Arial"/>
          <w:sz w:val="17"/>
          <w:szCs w:val="17"/>
          <w:color w:val="auto"/>
        </w:rPr>
        <w:t>.</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PARTICIPANT</w:t>
      </w:r>
    </w:p>
    <w:p>
      <w:pPr>
        <w:sectPr>
          <w:pgSz w:w="11900" w:h="16838" w:orient="portrait"/>
          <w:cols w:equalWidth="0" w:num="1">
            <w:col w:w="11400"/>
          </w:cols>
          <w:pgMar w:left="240" w:top="341" w:right="259" w:bottom="0" w:gutter="0" w:footer="0" w:header="0"/>
        </w:sectPr>
      </w:pPr>
    </w:p>
    <w:bookmarkStart w:id="188" w:name="page189"/>
    <w:bookmarkEnd w:id="188"/>
    <w:p>
      <w:pPr>
        <w:ind w:left="45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29210</wp:posOffset>
            </wp:positionV>
            <wp:extent cx="31045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-115570</wp:posOffset>
            </wp:positionV>
            <wp:extent cx="36188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89" w:name="page190"/>
    <w:bookmarkEnd w:id="189"/>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PTC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RESTRICTED STOCK UNIT AGREEMENT</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PTC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the following restricted stock units pursuant to its 2013 Long-Term Incentive Plan. The terms and conditions attached hereto are also a part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Grant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of recipient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Grant Date: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Number of Restricted Stock Units (“RSUs”) granted: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Vesting Start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w:t>
      </w:r>
    </w:p>
    <w:p>
      <w:pPr>
        <w:spacing w:after="0" w:line="200" w:lineRule="exact"/>
        <w:rPr>
          <w:sz w:val="20"/>
          <w:szCs w:val="20"/>
          <w:color w:val="auto"/>
        </w:rPr>
      </w:pPr>
    </w:p>
    <w:p>
      <w:pPr>
        <w:spacing w:after="0" w:line="241" w:lineRule="exact"/>
        <w:rPr>
          <w:sz w:val="20"/>
          <w:szCs w:val="20"/>
          <w:color w:val="auto"/>
        </w:rPr>
      </w:pPr>
    </w:p>
    <w:p>
      <w:pPr>
        <w:ind w:left="260" w:right="80"/>
        <w:spacing w:after="0" w:line="277" w:lineRule="auto"/>
        <w:rPr>
          <w:sz w:val="20"/>
          <w:szCs w:val="20"/>
          <w:color w:val="auto"/>
        </w:rPr>
      </w:pPr>
      <w:r>
        <w:rPr>
          <w:rFonts w:ascii="Arial" w:cs="Arial" w:eastAsia="Arial" w:hAnsi="Arial"/>
          <w:sz w:val="18"/>
          <w:szCs w:val="18"/>
          <w:color w:val="auto"/>
        </w:rPr>
        <w:t>All vesting is dependent on the Participant continuing to perform services for the Company, as provided herein. Vesting may be accelerated in accordance with the terms of the attached terms and conditions.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This grant of RSUs satisfies in full all commitments that the Company has to the Participant with respect to the issuance of stock, stock options or other equity securities.</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PTC THERAPEUTICS,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248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-130810</wp:posOffset>
            </wp:positionV>
            <wp:extent cx="32073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PTC THERAPEUTICS</w:t>
      </w:r>
      <w:r>
        <w:rPr>
          <w:rFonts w:ascii="Arial" w:cs="Arial" w:eastAsia="Arial" w:hAnsi="Arial"/>
          <w:sz w:val="17"/>
          <w:szCs w:val="17"/>
          <w:color w:val="auto"/>
        </w:rPr>
        <w: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Restricted Stock </w:t>
      </w:r>
      <w:r>
        <w:rPr>
          <w:rFonts w:ascii="Arial" w:cs="Arial" w:eastAsia="Arial" w:hAnsi="Arial"/>
          <w:sz w:val="17"/>
          <w:szCs w:val="17"/>
          <w:color w:val="auto"/>
        </w:rPr>
        <w:t>Unit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Incorporated Terms and Conditions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valuable consideration, receipt of which is acknowledged, the parties hereto agree as follows:</w:t>
      </w:r>
    </w:p>
    <w:p>
      <w:pPr>
        <w:spacing w:after="0" w:line="225"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consideration of services rendered and to be rendered to the Company, by the Participant, the Company has granted to the Participant, subject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set forth in this Restricted Stock Unit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and in the Company’s 2013 Long-Term Incentive Plan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an award with respect to the number of restricted shares units (the “</w:t>
      </w:r>
      <w:r>
        <w:rPr>
          <w:rFonts w:ascii="Arial" w:cs="Arial" w:eastAsia="Arial" w:hAnsi="Arial"/>
          <w:sz w:val="16"/>
          <w:szCs w:val="16"/>
          <w:u w:val="single" w:color="auto"/>
          <w:color w:val="auto"/>
        </w:rPr>
        <w:t>RSUs</w:t>
      </w:r>
      <w:r>
        <w:rPr>
          <w:rFonts w:ascii="Arial" w:cs="Arial" w:eastAsia="Arial" w:hAnsi="Arial"/>
          <w:sz w:val="16"/>
          <w:szCs w:val="16"/>
          <w:color w:val="auto"/>
        </w:rPr>
        <w:t>”) set forth in the Notice of Grant that forms part of this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Grant</w:t>
      </w:r>
      <w:r>
        <w:rPr>
          <w:rFonts w:ascii="Arial" w:cs="Arial" w:eastAsia="Arial" w:hAnsi="Arial"/>
          <w:sz w:val="16"/>
          <w:szCs w:val="16"/>
          <w:color w:val="auto"/>
        </w:rPr>
        <w:t>”). Each RSU represents the right to receive one share of common stock, $0.001 par value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vesting of the RSU, subject to the terms and conditions set forth herein.</w:t>
      </w:r>
    </w:p>
    <w:p>
      <w:pPr>
        <w:spacing w:after="0" w:line="211"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RSUs shall vest in accordance with the Vesting Schedule set forth in the Notice of Grant (the “</w:t>
      </w:r>
      <w:r>
        <w:rPr>
          <w:rFonts w:ascii="Arial" w:cs="Arial" w:eastAsia="Arial" w:hAnsi="Arial"/>
          <w:sz w:val="18"/>
          <w:szCs w:val="18"/>
          <w:u w:val="single" w:color="auto"/>
          <w:color w:val="auto"/>
        </w:rPr>
        <w:t>Vesting Schedule</w:t>
      </w:r>
      <w:r>
        <w:rPr>
          <w:rFonts w:ascii="Arial" w:cs="Arial" w:eastAsia="Arial" w:hAnsi="Arial"/>
          <w:sz w:val="18"/>
          <w:szCs w:val="18"/>
          <w:color w:val="auto"/>
        </w:rPr>
        <w:t>”) and, if applicable, Section 4 hereof. Upon the vesting of the RSU, the Company will deliver to the Participant, for each RSU that becomes vested, one share of Common Stock, subject to the payment of any taxes pursuant to Section 8. The Common Stock will be delivered to the Participant as soon as practicable following each vesting date, but in any event within 30 days of such date.</w:t>
      </w:r>
    </w:p>
    <w:p>
      <w:pPr>
        <w:spacing w:after="0" w:line="187"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Forfeiture of Unvested RSUs Upon Cessation of Service</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Subject to the provisions of Section 4 hereof, in the event that the Participant ceases to perform services to the Company for any reason or no reason, with or without Cause (as defined in Section 4(c) hereof), all of the RSUs that are unvested 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time of such cessation shall be forfeited immediately and automatically to the Company, without the payment of any consideration to the Participant, effective as of such cessation. The Participant shall have no further rights with respect to the unvested RSUs or any Common Stock that may have been issuable with respect thereto. If the Participant provides services to a subsidiary of the Company, any references in this Agreement to provision of services to the Company shall instead be deemed to refer to service with such subsidiary.</w:t>
      </w:r>
    </w:p>
    <w:p>
      <w:pPr>
        <w:spacing w:after="0" w:line="187"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Accelerated Vesting upon Cessation of Services in connection with Corporate Change.</w:t>
      </w:r>
    </w:p>
    <w:p>
      <w:pPr>
        <w:spacing w:after="0" w:line="225" w:lineRule="exact"/>
        <w:rPr>
          <w:rFonts w:ascii="Arial" w:cs="Arial" w:eastAsia="Arial" w:hAnsi="Arial"/>
          <w:sz w:val="18"/>
          <w:szCs w:val="18"/>
          <w:color w:val="auto"/>
        </w:rPr>
      </w:pPr>
    </w:p>
    <w:p>
      <w:pPr>
        <w:ind w:right="60" w:firstLine="1305"/>
        <w:spacing w:after="0" w:line="255" w:lineRule="auto"/>
        <w:tabs>
          <w:tab w:leader="none" w:pos="1942"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event that the Participant’s provision of services to the Company is terminated by the Company without Cause or by the Participant for Good Reason (as defined in Section 4(d) hereof) within the period of three (3) months prior to (but only if negotiations relating to the particular Corporate Change (as defined in Section 4(b) hereof) that occurs are ongoing at the date of the notice of termination) or twelve (12) months after a Corporate Change that occurs while the Participant is employed by the Company (such fifteen-month period, the “</w:t>
      </w:r>
      <w:r>
        <w:rPr>
          <w:rFonts w:ascii="Arial" w:cs="Arial" w:eastAsia="Arial" w:hAnsi="Arial"/>
          <w:sz w:val="18"/>
          <w:szCs w:val="18"/>
          <w:u w:val="single" w:color="auto"/>
          <w:color w:val="auto"/>
        </w:rPr>
        <w:t>Protected Period</w:t>
      </w:r>
      <w:r>
        <w:rPr>
          <w:rFonts w:ascii="Arial" w:cs="Arial" w:eastAsia="Arial" w:hAnsi="Arial"/>
          <w:sz w:val="18"/>
          <w:szCs w:val="18"/>
          <w:color w:val="auto"/>
        </w:rPr>
        <w:t>”), all of the RSUs that are unvested as of the time of such cessation shall vest immediately prior to the consummation of such Corporate Change if the cessation occurs during the first three (3) months of the Protected Period or immediately upon such cessation, if the cessation occurs during the last twelve (12) months of the Protected Period.</w:t>
      </w:r>
    </w:p>
    <w:p>
      <w:pPr>
        <w:sectPr>
          <w:pgSz w:w="11900" w:h="16897" w:orient="portrait"/>
          <w:cols w:equalWidth="0" w:num="1">
            <w:col w:w="11420"/>
          </w:cols>
          <w:pgMar w:left="240" w:top="364" w:right="239" w:bottom="0" w:gutter="0" w:footer="0" w:header="0"/>
        </w:sectPr>
      </w:pPr>
    </w:p>
    <w:bookmarkStart w:id="190" w:name="page191"/>
    <w:bookmarkEnd w:id="190"/>
    <w:p>
      <w:pPr>
        <w:spacing w:after="0" w:line="46" w:lineRule="exact"/>
        <w:rPr>
          <w:sz w:val="20"/>
          <w:szCs w:val="20"/>
          <w:color w:val="auto"/>
        </w:rPr>
      </w:pPr>
    </w:p>
    <w:p>
      <w:pPr>
        <w:ind w:right="180" w:firstLine="1305"/>
        <w:spacing w:after="0" w:line="286" w:lineRule="auto"/>
        <w:tabs>
          <w:tab w:leader="none" w:pos="1952" w:val="left"/>
        </w:tabs>
        <w:numPr>
          <w:ilvl w:val="1"/>
          <w:numId w:val="75"/>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Corporate Change</w:t>
      </w:r>
      <w:r>
        <w:rPr>
          <w:rFonts w:ascii="Arial" w:cs="Arial" w:eastAsia="Arial" w:hAnsi="Arial"/>
          <w:sz w:val="16"/>
          <w:szCs w:val="16"/>
          <w:color w:val="auto"/>
        </w:rPr>
        <w:t>” shall mean any circumstance in which (i) the Company is not the surviving entity in any merger, consolidation or other reorganization (or survives only as a subsidiary or affiliate of an entity other than a previously wholly-owned subsidiary of the Company); (ii) the Company sells, leases or exchanges or agrees to sell, lease or exchange all or substantially all of its assets to any other person or entity (other than a wholly-owned subsidiary of the Company); (iii) any person or entity, including a “group” as contemplated by Section 13(d)</w:t>
      </w:r>
    </w:p>
    <w:p>
      <w:pPr>
        <w:spacing w:after="0" w:line="1" w:lineRule="exact"/>
        <w:rPr>
          <w:rFonts w:ascii="Arial" w:cs="Arial" w:eastAsia="Arial" w:hAnsi="Arial"/>
          <w:sz w:val="16"/>
          <w:szCs w:val="16"/>
          <w:color w:val="auto"/>
        </w:rPr>
      </w:pPr>
    </w:p>
    <w:p>
      <w:pPr>
        <w:ind w:right="20" w:firstLine="8"/>
        <w:spacing w:after="0" w:line="267" w:lineRule="auto"/>
        <w:tabs>
          <w:tab w:leader="none" w:pos="255" w:val="left"/>
        </w:tabs>
        <w:numPr>
          <w:ilvl w:val="0"/>
          <w:numId w:val="76"/>
        </w:numPr>
        <w:rPr>
          <w:rFonts w:ascii="Arial" w:cs="Arial" w:eastAsia="Arial" w:hAnsi="Arial"/>
          <w:sz w:val="17"/>
          <w:szCs w:val="17"/>
          <w:color w:val="auto"/>
        </w:rPr>
      </w:pPr>
      <w:r>
        <w:rPr>
          <w:rFonts w:ascii="Arial" w:cs="Arial" w:eastAsia="Arial" w:hAnsi="Arial"/>
          <w:sz w:val="17"/>
          <w:szCs w:val="17"/>
          <w:color w:val="auto"/>
        </w:rPr>
        <w:t>of the U.S. Securities Exchange Act of 1934, as amended (excluding, for this purpose, the Company or any subsidiary, or any employee benefit plan of the Company or any subsidiary, or any “group” in which all or substantially all of its members or its members’ affiliates are individuals or entities who are or were beneficial owners of the Company’s outstanding shares prior to the initial public offering, if any, of the Company’s stock), acquires or gains ownership or control (including, without limitations, powers to vote) of more than 50% of the outstanding shares of the Company’s voting stock (based upon voting power); or (iv) as a result of or in connection with a contested election of directors, the persons who were directors of the Company before such election shall cease to constitute a majority of the Board of Directors of the Company. Notwithstanding the foregoing, a “Corporate Change” shall not occur as a result of a merger, consolidation, reorganization or restructuring after which either (1) a majority of the Board of Directors of the controlling entity consists of persons who were directors of the Company prior to the merger, consolidation, reorganization or restructuring or (2) the Participant forms part of an executive management team that consists of substantially the same group of individuals and the Participant is performing in a similar role, with similar authority and responsibility (other than changes solely attributable to the change in ownership structure), to that which existed prior to the reorganization or restructuring. Notwithstanding the foregoing, for any payments or benefits hereunder that are subject to of Section 409A of the Internal Revenue Code and the Treasury Regulations issued thereunder (“</w:t>
      </w:r>
      <w:r>
        <w:rPr>
          <w:rFonts w:ascii="Arial" w:cs="Arial" w:eastAsia="Arial" w:hAnsi="Arial"/>
          <w:sz w:val="17"/>
          <w:szCs w:val="17"/>
          <w:u w:val="single" w:color="auto"/>
          <w:color w:val="auto"/>
        </w:rPr>
        <w:t>Section 409A</w:t>
      </w:r>
      <w:r>
        <w:rPr>
          <w:rFonts w:ascii="Arial" w:cs="Arial" w:eastAsia="Arial" w:hAnsi="Arial"/>
          <w:sz w:val="17"/>
          <w:szCs w:val="17"/>
          <w:color w:val="auto"/>
        </w:rPr>
        <w:t>”), the Corporate Change must constitute a “change in control event” within the meaning of Treasury Regulation Section 1.409A-3(i)(5)(i).</w:t>
      </w:r>
    </w:p>
    <w:p>
      <w:pPr>
        <w:spacing w:after="0" w:line="183" w:lineRule="exact"/>
        <w:rPr>
          <w:rFonts w:ascii="Arial" w:cs="Arial" w:eastAsia="Arial" w:hAnsi="Arial"/>
          <w:sz w:val="17"/>
          <w:szCs w:val="17"/>
          <w:color w:val="auto"/>
        </w:rPr>
      </w:pPr>
    </w:p>
    <w:p>
      <w:pPr>
        <w:ind w:right="80" w:firstLine="1305"/>
        <w:spacing w:after="0" w:line="255" w:lineRule="auto"/>
        <w:tabs>
          <w:tab w:leader="none" w:pos="19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the Participant is party to an employment, consulting or severance agreement with the Company that contains a definition of “cause” for termination of employment or other relationship, “</w:t>
      </w:r>
      <w:r>
        <w:rPr>
          <w:rFonts w:ascii="Arial" w:cs="Arial" w:eastAsia="Arial" w:hAnsi="Arial"/>
          <w:sz w:val="18"/>
          <w:szCs w:val="18"/>
          <w:u w:val="single" w:color="auto"/>
          <w:color w:val="auto"/>
        </w:rPr>
        <w:t>Cause</w:t>
      </w:r>
      <w:r>
        <w:rPr>
          <w:rFonts w:ascii="Arial" w:cs="Arial" w:eastAsia="Arial" w:hAnsi="Arial"/>
          <w:sz w:val="18"/>
          <w:szCs w:val="18"/>
          <w:color w:val="auto"/>
        </w:rPr>
        <w:t>”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resignation, that termination for Cause was warranted.</w:t>
      </w:r>
    </w:p>
    <w:p>
      <w:pPr>
        <w:spacing w:after="0" w:line="189" w:lineRule="exact"/>
        <w:rPr>
          <w:rFonts w:ascii="Arial" w:cs="Arial" w:eastAsia="Arial" w:hAnsi="Arial"/>
          <w:sz w:val="18"/>
          <w:szCs w:val="18"/>
          <w:color w:val="auto"/>
        </w:rPr>
      </w:pPr>
    </w:p>
    <w:p>
      <w:pPr>
        <w:ind w:firstLine="1305"/>
        <w:spacing w:after="0" w:line="293" w:lineRule="auto"/>
        <w:tabs>
          <w:tab w:leader="none" w:pos="1952"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the Participant is party to an employment, consulting or severance agreement with the Company that contains a definition of “good reason” for termination of employment or other relationship, “</w:t>
      </w:r>
      <w:r>
        <w:rPr>
          <w:rFonts w:ascii="Arial" w:cs="Arial" w:eastAsia="Arial" w:hAnsi="Arial"/>
          <w:sz w:val="16"/>
          <w:szCs w:val="16"/>
          <w:u w:val="single" w:color="auto"/>
          <w:color w:val="auto"/>
        </w:rPr>
        <w:t>Good Reason</w:t>
      </w:r>
      <w:r>
        <w:rPr>
          <w:rFonts w:ascii="Arial" w:cs="Arial" w:eastAsia="Arial" w:hAnsi="Arial"/>
          <w:sz w:val="16"/>
          <w:szCs w:val="16"/>
          <w:color w:val="auto"/>
        </w:rPr>
        <w:t>” shall have the meaning ascribed to such term in such agreement. Otherwise, “Good Reason” shall mean any of the following, unless (i) the basis for such Good Reason is cured within a reasonable period of time (determined in the light of the cure appropriate to the basis of such Good Reason, but in no event less than thirty (30) nor more than ninety (90) days) after the Company receives written notice (which must be received from the Participant within ninety (90) days of the initial existence of the condition giving rise to such Good Reason) specifying the basis for such Good Reason or (ii) Participant has consented to the condition that would otherwise be a basis for Good Reason:</w:t>
      </w:r>
    </w:p>
    <w:p>
      <w:pPr>
        <w:spacing w:after="0" w:line="164" w:lineRule="exact"/>
        <w:rPr>
          <w:rFonts w:ascii="Arial" w:cs="Arial" w:eastAsia="Arial" w:hAnsi="Arial"/>
          <w:sz w:val="16"/>
          <w:szCs w:val="16"/>
          <w:color w:val="auto"/>
        </w:rPr>
      </w:pPr>
    </w:p>
    <w:p>
      <w:pPr>
        <w:ind w:right="320" w:firstLine="1953"/>
        <w:spacing w:after="0" w:line="277" w:lineRule="auto"/>
        <w:tabs>
          <w:tab w:leader="none" w:pos="2614"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 change in the principal location at which the Participant provides services to the Company to a location more than fifty (50) miles from the location at which the Participant provided services as of immediately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Corporate Change and/or to a location in New York City (either of), which change the Company has reasonably determined as of the date hereof, would constitute a material change in the geographic location at which the Participant provides services to the Company);</w:t>
      </w:r>
    </w:p>
    <w:p>
      <w:pPr>
        <w:spacing w:after="0" w:line="170" w:lineRule="exact"/>
        <w:rPr>
          <w:sz w:val="20"/>
          <w:szCs w:val="20"/>
          <w:color w:val="auto"/>
        </w:rPr>
      </w:pPr>
    </w:p>
    <w:p>
      <w:pPr>
        <w:ind w:right="80" w:firstLine="1953"/>
        <w:spacing w:after="0" w:line="276" w:lineRule="auto"/>
        <w:tabs>
          <w:tab w:leader="none" w:pos="2624"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material adverse change by the Company in the Participant’s duties, authority or responsibilities which causes the Participant’s position with the Company to become of materially less responsibility or authority than the Participant’s position immediately prior to the Corporate Change. For purposes of this definition of “Good Reason,” a “material adverse change” following a Corporate Change shall not include any diminution in authority, duties or responsibilities that is solely attributable to the change in the Company’s ownership structure but does not otherwise change the Participant’s authority, duties or responsibilities (except in a positive manner) otherwise with respect to the Company’s business;</w:t>
      </w:r>
    </w:p>
    <w:p>
      <w:pPr>
        <w:spacing w:after="0" w:line="172" w:lineRule="exact"/>
        <w:rPr>
          <w:rFonts w:ascii="Arial" w:cs="Arial" w:eastAsia="Arial" w:hAnsi="Arial"/>
          <w:sz w:val="17"/>
          <w:szCs w:val="17"/>
          <w:color w:val="auto"/>
        </w:rPr>
      </w:pPr>
    </w:p>
    <w:p>
      <w:pPr>
        <w:ind w:left="2640" w:hanging="687"/>
        <w:spacing w:after="0"/>
        <w:tabs>
          <w:tab w:leader="none" w:pos="2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material reduction in the Participant’s base compensation (including his or her base salary);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material breach of this Agreement by the Company which has not been cured within thirty (30) days after written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notice thereof by the Participant; or</w:t>
      </w:r>
    </w:p>
    <w:p>
      <w:pPr>
        <w:spacing w:after="0" w:line="210" w:lineRule="exact"/>
        <w:rPr>
          <w:rFonts w:ascii="Arial" w:cs="Arial" w:eastAsia="Arial" w:hAnsi="Arial"/>
          <w:sz w:val="17"/>
          <w:szCs w:val="17"/>
          <w:color w:val="auto"/>
        </w:rPr>
      </w:pPr>
    </w:p>
    <w:p>
      <w:pPr>
        <w:ind w:left="2600" w:hanging="647"/>
        <w:spacing w:after="0"/>
        <w:tabs>
          <w:tab w:leader="none" w:pos="2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to obtain the assumption (assignment) of this Agreement by any successor to the Company.</w:t>
      </w:r>
    </w:p>
    <w:p>
      <w:pPr>
        <w:spacing w:after="0" w:line="225"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Participant shall not sell, assign, transfer, pledge, hypothecate or otherwise dispose of, by operation of law or otherwise (collectively “transfer”) any RSUs, or any interest therein. The Company shall not be required to treat as the owner of any RSUs or issue any Common Stock to any transferee to whom such RSUs have been transferred in violation of any of the provisions of this Agreement.</w:t>
      </w:r>
    </w:p>
    <w:p>
      <w:pPr>
        <w:spacing w:after="0" w:line="181"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Participant shall have no rights as a stockholder of the Company with respect to any shares of Common Stock that may be issuable with respect to the RSUs until the issuance of the shares of Common Stock to the Participant following the vesting of the RSUs.</w:t>
      </w:r>
    </w:p>
    <w:p>
      <w:pPr>
        <w:spacing w:after="0" w:line="170"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subject to the provisions of the Plan, a copy of which is furnished to the Participant with this Agreement.</w:t>
      </w:r>
    </w:p>
    <w:p>
      <w:pPr>
        <w:spacing w:after="0" w:line="225"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312" w:lineRule="auto"/>
        <w:tabs>
          <w:tab w:leader="none" w:pos="1942"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Acknowledgments; No Section 83(b) Election</w:t>
      </w:r>
      <w:r>
        <w:rPr>
          <w:rFonts w:ascii="Arial" w:cs="Arial" w:eastAsia="Arial" w:hAnsi="Arial"/>
          <w:sz w:val="16"/>
          <w:szCs w:val="16"/>
          <w:color w:val="auto"/>
        </w:rPr>
        <w:t>. The Participant acknowledges that he or she is responsible for obtaining the advice of the Participant’s own tax advisors with respect to the award of RSUs and the Participant is relying solely on such advisors and not on any statements or representations of the Company or any of its agents with respect to the tax consequences relating to the RSUs. The Participant understands that the</w:t>
      </w:r>
    </w:p>
    <w:p>
      <w:pPr>
        <w:sectPr>
          <w:pgSz w:w="11900" w:h="16885" w:orient="portrait"/>
          <w:cols w:equalWidth="0" w:num="1">
            <w:col w:w="11420"/>
          </w:cols>
          <w:pgMar w:left="240" w:top="341" w:right="239" w:bottom="0" w:gutter="0" w:footer="0" w:header="0"/>
        </w:sectPr>
      </w:pPr>
    </w:p>
    <w:bookmarkStart w:id="191" w:name="page192"/>
    <w:bookmarkEnd w:id="191"/>
    <w:p>
      <w:pPr>
        <w:jc w:val="both"/>
        <w:ind w:right="380"/>
        <w:spacing w:after="0" w:line="264" w:lineRule="auto"/>
        <w:rPr>
          <w:sz w:val="20"/>
          <w:szCs w:val="20"/>
          <w:color w:val="auto"/>
        </w:rPr>
      </w:pPr>
      <w:r>
        <w:rPr>
          <w:rFonts w:ascii="Arial" w:cs="Arial" w:eastAsia="Arial" w:hAnsi="Arial"/>
          <w:sz w:val="18"/>
          <w:szCs w:val="18"/>
          <w:color w:val="auto"/>
        </w:rPr>
        <w:t>Participant (and not the Company) shall be responsible for the Participant’s tax liability that may arise in connection with the acquisition, vesting and/or disposition of the RSUs. The Participant acknowledges that no election under Section 83(b) of the Internal Revenue Code, as amended, is available with respect to RSUs.</w:t>
      </w:r>
    </w:p>
    <w:p>
      <w:pPr>
        <w:spacing w:after="0" w:line="181" w:lineRule="exact"/>
        <w:rPr>
          <w:sz w:val="20"/>
          <w:szCs w:val="20"/>
          <w:color w:val="auto"/>
        </w:rPr>
      </w:pPr>
    </w:p>
    <w:p>
      <w:pPr>
        <w:ind w:firstLine="1305"/>
        <w:spacing w:after="0" w:line="254" w:lineRule="auto"/>
        <w:tabs>
          <w:tab w:leader="none" w:pos="195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Participant acknowledges and agrees that the Company has the right to deduct from payments of any kind otherwise due to the Participant any federal, state, local or other taxes of any kind required by law to be withheld with respect to the vesting of the RSUs. At such time as the Participant is not aware of any material nonpublic information about the Company or the Common Stock, the Participant shall execute the instructions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Automatic Sale Instructions</w:t>
      </w:r>
      <w:r>
        <w:rPr>
          <w:rFonts w:ascii="Arial" w:cs="Arial" w:eastAsia="Arial" w:hAnsi="Arial"/>
          <w:sz w:val="18"/>
          <w:szCs w:val="18"/>
          <w:color w:val="auto"/>
        </w:rPr>
        <w:t>”) as the means of satisfying such tax obligation. If the Participant does not execute the Automatic Sale Instructions prior to an applicable vesting date, then the Participant agrees that if under applicable law the Participant will owe taxes at such vesting date on the portion of the Award then vested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80" w:firstLine="1305"/>
        <w:spacing w:after="0" w:line="259" w:lineRule="auto"/>
        <w:tabs>
          <w:tab w:leader="none" w:pos="1942"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Authority of Compensation Committee</w:t>
      </w:r>
      <w:r>
        <w:rPr>
          <w:rFonts w:ascii="Arial" w:cs="Arial" w:eastAsia="Arial" w:hAnsi="Arial"/>
          <w:sz w:val="18"/>
          <w:szCs w:val="18"/>
          <w:color w:val="auto"/>
        </w:rPr>
        <w:t>. In making any decisions or taking any actions with respect to the matters covered by this Agreement, the Compensation Committee shall have all of the authority and discretion, and shall be subject to all of the protections, provided for in the Plan. All decisions and actions by the Compensation Committee with respect to this Agreement shall be made in the Compensation Committee’s discretion and shall be final and binding on the Participant.</w:t>
      </w:r>
    </w:p>
    <w:p>
      <w:pPr>
        <w:spacing w:after="0" w:line="186" w:lineRule="exact"/>
        <w:rPr>
          <w:rFonts w:ascii="Arial" w:cs="Arial" w:eastAsia="Arial" w:hAnsi="Arial"/>
          <w:sz w:val="18"/>
          <w:szCs w:val="18"/>
          <w:color w:val="auto"/>
        </w:rPr>
      </w:pPr>
    </w:p>
    <w:p>
      <w:pPr>
        <w:ind w:right="80" w:firstLine="1305"/>
        <w:spacing w:after="0" w:line="312" w:lineRule="auto"/>
        <w:tabs>
          <w:tab w:leader="none" w:pos="1952"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No Right to Continued Service</w:t>
      </w:r>
      <w:r>
        <w:rPr>
          <w:rFonts w:ascii="Arial" w:cs="Arial" w:eastAsia="Arial" w:hAnsi="Arial"/>
          <w:sz w:val="16"/>
          <w:szCs w:val="16"/>
          <w:color w:val="auto"/>
        </w:rPr>
        <w:t>. The Participant acknowledges and agrees that, notwithstanding the fact that the vesting of the RSUs is contingent upon his or her continued service to the Company, this Agreement does not constitute an express or implied promise of continued service relationship with the Participant or confer upon the Participant any rights with respect to a continued service relationship with the Company.</w:t>
      </w:r>
    </w:p>
    <w:p>
      <w:pPr>
        <w:spacing w:after="0" w:line="146" w:lineRule="exact"/>
        <w:rPr>
          <w:rFonts w:ascii="Arial" w:cs="Arial" w:eastAsia="Arial" w:hAnsi="Arial"/>
          <w:sz w:val="16"/>
          <w:szCs w:val="16"/>
          <w:color w:val="auto"/>
        </w:rPr>
      </w:pPr>
    </w:p>
    <w:p>
      <w:pPr>
        <w:ind w:right="20" w:firstLine="1305"/>
        <w:spacing w:after="0" w:line="264" w:lineRule="auto"/>
        <w:tabs>
          <w:tab w:leader="none" w:pos="1955"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RSUs awarded pursuant to this Agreement are intended to be exempt from or comply with the requirements of Section 409A. The delivery of shares of Common Stock on the vesting of the RSUs may not be accelerated or deferred unless permitted or required by Section 409A.</w:t>
      </w:r>
    </w:p>
    <w:p>
      <w:pPr>
        <w:spacing w:after="0" w:line="181" w:lineRule="exact"/>
        <w:rPr>
          <w:rFonts w:ascii="Arial" w:cs="Arial" w:eastAsia="Arial" w:hAnsi="Arial"/>
          <w:sz w:val="18"/>
          <w:szCs w:val="18"/>
          <w:color w:val="auto"/>
        </w:rPr>
      </w:pPr>
    </w:p>
    <w:p>
      <w:pPr>
        <w:ind w:right="40" w:firstLine="1305"/>
        <w:spacing w:after="0" w:line="264" w:lineRule="auto"/>
        <w:tabs>
          <w:tab w:leader="none" w:pos="1952"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The Participant hereby explicitly and unambiguously consents to the collection, use and transfer, in electronic or other form, of his or her personal data as described in this Agreement by and among, as applicable, his or her employer or contracting party and the Company for the exclusive purpose of implementing, administering and managing his or her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Participant understands that the Company holds certain personal information about him or her, including, but not limited to, his or her name, home address and telephone number, work location and phone number, date of birth, hire date, details of all RSUs awarded, cancelled, vested, unvested or outstanding in the Participant’s favor, for the purpose of implementing, administering and managing the Plan (“</w:t>
      </w:r>
      <w:r>
        <w:rPr>
          <w:rFonts w:ascii="Arial" w:cs="Arial" w:eastAsia="Arial" w:hAnsi="Arial"/>
          <w:sz w:val="17"/>
          <w:szCs w:val="17"/>
          <w:u w:val="single" w:color="auto"/>
          <w:color w:val="auto"/>
        </w:rPr>
        <w:t>Personal Data</w:t>
      </w:r>
      <w:r>
        <w:rPr>
          <w:rFonts w:ascii="Arial" w:cs="Arial" w:eastAsia="Arial" w:hAnsi="Arial"/>
          <w:sz w:val="17"/>
          <w:szCs w:val="17"/>
          <w:color w:val="auto"/>
        </w:rPr>
        <w:t xml:space="preserve">”). The Participant understands that Personal Data may be transferred to any third parties assisting in the implementation, administration and management of the Plan, that these recipients may be located in the Participant’s country or elsewhere, and that the recipient’s country may have different data privacy laws and protections than the Participant’s country. The Participant understands that he or she may request a list with the names and addresses of any potential recipients of the Personal Data by contacting his or her local human resources representative. The Participant authorizes the recipients to receive, possess, use, retain and transfer the Personal Data, in electronic or other form, for the purposes of implementing, administering and managing his or her participation in the Plan, including any requisite transfer of such Personal Data as may be required to a broker or other third party with whom the Participant may elect to deposit any Common Stock acquired upon vesting of the RSUs or in connection with the Participant’s execution of the Automatic Sale Instructions and the sale of the Participant’s Common Stock pursuant to </w:t>
      </w:r>
      <w:r>
        <w:rPr>
          <w:rFonts w:ascii="Arial" w:cs="Arial" w:eastAsia="Arial" w:hAnsi="Arial"/>
          <w:sz w:val="17"/>
          <w:szCs w:val="17"/>
          <w:u w:val="single" w:color="auto"/>
          <w:color w:val="auto"/>
        </w:rPr>
        <w:t>Schedule A</w:t>
      </w:r>
      <w:r>
        <w:rPr>
          <w:rFonts w:ascii="Arial" w:cs="Arial" w:eastAsia="Arial" w:hAnsi="Arial"/>
          <w:sz w:val="17"/>
          <w:szCs w:val="17"/>
          <w:color w:val="auto"/>
        </w:rPr>
        <w:t>. The Participant understands that Personal Data will be held only as long as is necessary to implement, administer and manage his or her participation in the Plan. The Participant understands that he or she may, at any time, view Personal Data, request additional information about the storage and processing of Personal Data, require any necessary amendments to Personal Data or refuse or withdraw the consents herein, in any case without cost, by contacting in writing his or her local human resources representative. The Participant understands, however, that refusing or withdrawing his or her consent may affect his or her ability to participate in the Plan. For more information on the consequences of Participant’s refusal to consent or withdrawal of consent, the Participant understands that he or she may contact his or her local human resources representative. For purposes of this Section 9(d), if the Participant provides services to a subsidiary of the Company, any references in this Section 9(d) to the Company shall be deemed to also refer to such subsidiary.</w:t>
      </w:r>
    </w:p>
    <w:p>
      <w:pPr>
        <w:spacing w:after="0" w:line="191" w:lineRule="exact"/>
        <w:rPr>
          <w:sz w:val="20"/>
          <w:szCs w:val="20"/>
          <w:color w:val="auto"/>
        </w:rPr>
      </w:pPr>
    </w:p>
    <w:p>
      <w:pPr>
        <w:ind w:right="160" w:firstLine="1305"/>
        <w:spacing w:after="0" w:line="312" w:lineRule="auto"/>
        <w:tabs>
          <w:tab w:leader="none" w:pos="195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Participant’s Acknowledgements</w:t>
      </w:r>
      <w:r>
        <w:rPr>
          <w:rFonts w:ascii="Arial" w:cs="Arial" w:eastAsia="Arial" w:hAnsi="Arial"/>
          <w:sz w:val="16"/>
          <w:szCs w:val="16"/>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spacing w:after="0" w:line="146" w:lineRule="exact"/>
        <w:rPr>
          <w:rFonts w:ascii="Arial" w:cs="Arial" w:eastAsia="Arial" w:hAnsi="Arial"/>
          <w:sz w:val="16"/>
          <w:szCs w:val="16"/>
          <w:color w:val="auto"/>
        </w:rPr>
      </w:pPr>
    </w:p>
    <w:p>
      <w:pPr>
        <w:ind w:right="120" w:firstLine="1305"/>
        <w:spacing w:after="0" w:line="277" w:lineRule="auto"/>
        <w:tabs>
          <w:tab w:leader="none" w:pos="1949"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State of Delaware without regard to any applicable conflicts of laws provisions.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hereby acknowledge that I have read this Agreement, have received and read the Plan, and understand and agree to comply with the terms and conditions of this Agreement and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2" w:name="page193"/>
    <w:bookmarkEnd w:id="192"/>
    <w:p>
      <w:pPr>
        <w:spacing w:after="0"/>
        <w:rPr>
          <w:rFonts w:ascii="Arial" w:cs="Arial" w:eastAsia="Arial" w:hAnsi="Arial"/>
          <w:sz w:val="22"/>
          <w:szCs w:val="22"/>
          <w:color w:val="0000EE"/>
        </w:rPr>
      </w:pPr>
      <w:hyperlink w:anchor="page19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Significant Subsidiaries of PTC Therapeutics, Inc.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9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Jurisdiction of Incorporation</w:t>
            </w:r>
          </w:p>
        </w:tc>
      </w:tr>
      <w:tr>
        <w:trPr>
          <w:trHeight w:val="161"/>
        </w:trPr>
        <w:tc>
          <w:tcPr>
            <w:tcW w:w="11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Organization</w:t>
            </w: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PTC Therapeutics Holdings (Bermuda) Corp. Limited</w:t>
            </w:r>
          </w:p>
        </w:tc>
        <w:tc>
          <w:tcPr>
            <w:tcW w:w="35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Bermuda</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PTC Therapeutics International Limited</w:t>
            </w:r>
          </w:p>
        </w:tc>
        <w:tc>
          <w:tcPr>
            <w:tcW w:w="3560" w:type="dxa"/>
            <w:vAlign w:val="bottom"/>
            <w:gridSpan w:val="2"/>
          </w:tcPr>
          <w:p>
            <w:pPr>
              <w:ind w:left="1760"/>
              <w:spacing w:after="0"/>
              <w:rPr>
                <w:sz w:val="20"/>
                <w:szCs w:val="20"/>
                <w:color w:val="auto"/>
              </w:rPr>
            </w:pPr>
            <w:r>
              <w:rPr>
                <w:rFonts w:ascii="Arial" w:cs="Arial" w:eastAsia="Arial" w:hAnsi="Arial"/>
                <w:sz w:val="18"/>
                <w:szCs w:val="18"/>
                <w:color w:val="auto"/>
              </w:rPr>
              <w:t>Ireland</w:t>
            </w:r>
          </w:p>
        </w:tc>
        <w:tc>
          <w:tcPr>
            <w:tcW w:w="1140" w:type="dxa"/>
            <w:vAlign w:val="bottom"/>
          </w:tcPr>
          <w:p>
            <w:pPr>
              <w:spacing w:after="0"/>
              <w:rPr>
                <w:sz w:val="19"/>
                <w:szCs w:val="19"/>
                <w:color w:val="auto"/>
              </w:rPr>
            </w:pPr>
          </w:p>
        </w:tc>
      </w:tr>
      <w:tr>
        <w:trPr>
          <w:trHeight w:val="112"/>
        </w:trPr>
        <w:tc>
          <w:tcPr>
            <w:tcW w:w="1160" w:type="dxa"/>
            <w:vAlign w:val="bottom"/>
            <w:tcBorders>
              <w:bottom w:val="single" w:sz="8" w:color="808080"/>
            </w:tcBorders>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3">
        <w:r>
          <w:rPr>
            <w:rFonts w:ascii="Arial" w:cs="Arial" w:eastAsia="Arial" w:hAnsi="Arial"/>
            <w:sz w:val="16"/>
            <w:szCs w:val="16"/>
            <w:u w:val="single" w:color="auto"/>
            <w:color w:val="0000EE"/>
          </w:rPr>
          <w:t>Significant Subsidiaries of PTC Therapeutics, Inc.</w:t>
        </w:r>
      </w:hyperlink>
    </w:p>
    <w:p>
      <w:pPr>
        <w:sectPr>
          <w:pgSz w:w="11900" w:h="16838" w:orient="portrait"/>
          <w:cols w:equalWidth="0" w:num="1">
            <w:col w:w="10219"/>
          </w:cols>
          <w:pgMar w:left="240" w:top="821" w:right="1440" w:bottom="1440" w:gutter="0" w:footer="0" w:header="0"/>
        </w:sectPr>
      </w:pPr>
    </w:p>
    <w:bookmarkStart w:id="194" w:name="page195"/>
    <w:bookmarkEnd w:id="194"/>
    <w:p>
      <w:pPr>
        <w:spacing w:after="0"/>
        <w:rPr>
          <w:rFonts w:ascii="Arial" w:cs="Arial" w:eastAsia="Arial" w:hAnsi="Arial"/>
          <w:sz w:val="22"/>
          <w:szCs w:val="22"/>
          <w:color w:val="0000EE"/>
        </w:rPr>
      </w:pPr>
      <w:hyperlink w:anchor="page19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consent to the incorporation by reference in the Registration Statements:</w:t>
      </w:r>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Registration Statement (Form S-3 No. 333-197922),</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Registration Statement (Form S-8 No. 333-194323) pertaining to the 2013 Long Term Incentive Plan, and the Inducement Stock Option Award, and</w:t>
      </w:r>
    </w:p>
    <w:p>
      <w:pPr>
        <w:spacing w:after="0" w:line="199"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Registration Statement (Form S-8 No. 333-189962) pertaining to the 2013 Long Term Incentive Plan, the 2013 Stock Incentive Plan, the 2009 Equity and Long Term Incentive Plan, as amended, and the 1998 Employee, Director and Consultant Stock Option Plan, as amended.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Registration Statement (Form S-8 No. 333-203485), Inducement Stock Option Awards (Apr 2014 - Jan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Registration Statement (Form S-8 No. 333-208830), 2013 Long Term Incentive Plan and Inducement Stock Option Awards (Feb 2015 - Oct 2015)</w:t>
      </w:r>
    </w:p>
    <w:p>
      <w:pPr>
        <w:spacing w:after="0" w:line="248"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of our reports dated February 29, 2016, with respect to the financial statements and the effectiveness of internal control over financial reporting of PTC Therapeutics, Inc. included in this Annual Report (Form 10-K) for the year ended December 31,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5">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1" w:right="1440" w:bottom="1440" w:gutter="0" w:footer="0" w:header="0"/>
        </w:sectPr>
      </w:pPr>
    </w:p>
    <w:bookmarkStart w:id="196" w:name="page197"/>
    <w:bookmarkEnd w:id="196"/>
    <w:p>
      <w:pPr>
        <w:spacing w:after="0"/>
        <w:rPr>
          <w:rFonts w:ascii="Arial" w:cs="Arial" w:eastAsia="Arial" w:hAnsi="Arial"/>
          <w:sz w:val="22"/>
          <w:szCs w:val="22"/>
          <w:color w:val="0000EE"/>
        </w:rPr>
      </w:pPr>
      <w:hyperlink w:anchor="page19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Stuart W. Peltz, certify that:</w:t>
      </w:r>
    </w:p>
    <w:p>
      <w:pPr>
        <w:spacing w:after="0" w:line="239" w:lineRule="exact"/>
        <w:rPr>
          <w:sz w:val="20"/>
          <w:szCs w:val="20"/>
          <w:color w:val="auto"/>
        </w:rPr>
      </w:pPr>
    </w:p>
    <w:p>
      <w:pPr>
        <w:ind w:left="540" w:hanging="532"/>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PTC Therapeutics,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8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540" w:val="left"/>
          <w:tab w:leader="none" w:pos="4940" w:val="left"/>
        </w:tabs>
        <w:rPr>
          <w:sz w:val="20"/>
          <w:szCs w:val="20"/>
          <w:color w:val="auto"/>
        </w:rPr>
      </w:pPr>
      <w:r>
        <w:rPr>
          <w:rFonts w:ascii="Arial" w:cs="Arial" w:eastAsia="Arial" w:hAnsi="Arial"/>
          <w:sz w:val="18"/>
          <w:szCs w:val="18"/>
          <w:color w:val="auto"/>
        </w:rPr>
        <w:t>Date: February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62230</wp:posOffset>
            </wp:positionV>
            <wp:extent cx="2675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Stuart W. Peltz</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7">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198" w:name="page199"/>
    <w:bookmarkEnd w:id="198"/>
    <w:p>
      <w:pPr>
        <w:spacing w:after="0"/>
        <w:rPr>
          <w:rFonts w:ascii="Arial" w:cs="Arial" w:eastAsia="Arial" w:hAnsi="Arial"/>
          <w:sz w:val="22"/>
          <w:szCs w:val="22"/>
          <w:color w:val="0000EE"/>
        </w:rPr>
      </w:pPr>
      <w:hyperlink w:anchor="page20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Shane Kovacs, certify that:</w:t>
      </w:r>
    </w:p>
    <w:p>
      <w:pPr>
        <w:spacing w:after="0" w:line="239" w:lineRule="exact"/>
        <w:rPr>
          <w:sz w:val="20"/>
          <w:szCs w:val="20"/>
          <w:color w:val="auto"/>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PTC Therapeutics,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8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February 29, 2016</w:t>
      </w:r>
      <w:r>
        <w:rPr>
          <w:sz w:val="20"/>
          <w:szCs w:val="20"/>
          <w:color w:val="auto"/>
        </w:rPr>
        <w:tab/>
      </w:r>
      <w:r>
        <w:rPr>
          <w:rFonts w:ascii="Arial" w:cs="Arial" w:eastAsia="Arial" w:hAnsi="Arial"/>
          <w:sz w:val="16"/>
          <w:szCs w:val="16"/>
          <w:color w:val="auto"/>
        </w:rPr>
        <w:t>By: /s/ SHANE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62230</wp:posOffset>
            </wp:positionV>
            <wp:extent cx="2675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Shane Kovacs</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9">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200" w:name="page201"/>
    <w:bookmarkEnd w:id="200"/>
    <w:p>
      <w:pPr>
        <w:spacing w:after="0"/>
        <w:rPr>
          <w:rFonts w:ascii="Arial" w:cs="Arial" w:eastAsia="Arial" w:hAnsi="Arial"/>
          <w:sz w:val="22"/>
          <w:szCs w:val="22"/>
          <w:color w:val="0000EE"/>
        </w:rPr>
      </w:pPr>
      <w:hyperlink w:anchor="page20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connection with the Annual Report on Form 10-K of PTC Therapeutics, Inc. (the "Company") for the period ended December 31, 2015 as filed with the Securities and Exchange Commission on the date hereof (the "Report"), the undersigned, Stuart W. Peltz, Chief Executive Officer of the Company, hereby certifies, pursuant to 18 U.S.C. Section 1350, that to his knowledge:</w:t>
      </w:r>
    </w:p>
    <w:p>
      <w:pPr>
        <w:spacing w:after="0" w:line="194" w:lineRule="exact"/>
        <w:rPr>
          <w:sz w:val="20"/>
          <w:szCs w:val="20"/>
          <w:color w:val="auto"/>
        </w:rPr>
      </w:pPr>
    </w:p>
    <w:p>
      <w:pPr>
        <w:ind w:left="1240" w:hanging="341"/>
        <w:spacing w:after="0"/>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February 29, 2016</w:t>
      </w:r>
      <w:r>
        <w:rPr>
          <w:sz w:val="20"/>
          <w:szCs w:val="20"/>
          <w:color w:val="auto"/>
        </w:rPr>
        <w:tab/>
      </w:r>
      <w:r>
        <w:rPr>
          <w:rFonts w:ascii="Arial" w:cs="Arial" w:eastAsia="Arial" w:hAnsi="Arial"/>
          <w:sz w:val="16"/>
          <w:szCs w:val="16"/>
          <w:color w:val="auto"/>
        </w:rPr>
        <w:t>By: /s/ 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71120</wp:posOffset>
            </wp:positionV>
            <wp:extent cx="2675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Stuart W. Peltz</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01">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202" w:name="page203"/>
    <w:bookmarkEnd w:id="202"/>
    <w:p>
      <w:pPr>
        <w:spacing w:after="0"/>
        <w:rPr>
          <w:rFonts w:ascii="Arial" w:cs="Arial" w:eastAsia="Arial" w:hAnsi="Arial"/>
          <w:sz w:val="22"/>
          <w:szCs w:val="22"/>
          <w:color w:val="0000EE"/>
        </w:rPr>
      </w:pPr>
      <w:hyperlink w:anchor="page20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connection with the Annual Report on Form 10-K of PTC Therapeutics, Inc. (the "Company") for the period ended December 31, 2015 as filed with the Securities and Exchange Commission on the date hereof (the "Report"), the undersigned, Shane Kovacs, Chief Financial Officer of the Company, hereby certifies, pursuant to 18 U.S.C. Section 1350, that to his knowledge:</w:t>
      </w:r>
    </w:p>
    <w:p>
      <w:pPr>
        <w:spacing w:after="0" w:line="194" w:lineRule="exact"/>
        <w:rPr>
          <w:sz w:val="20"/>
          <w:szCs w:val="20"/>
          <w:color w:val="auto"/>
        </w:rPr>
      </w:pPr>
    </w:p>
    <w:p>
      <w:pPr>
        <w:ind w:left="1240" w:hanging="341"/>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540" w:val="left"/>
          <w:tab w:leader="none" w:pos="4940" w:val="left"/>
        </w:tabs>
        <w:rPr>
          <w:sz w:val="20"/>
          <w:szCs w:val="20"/>
          <w:color w:val="auto"/>
        </w:rPr>
      </w:pPr>
      <w:r>
        <w:rPr>
          <w:rFonts w:ascii="Arial" w:cs="Arial" w:eastAsia="Arial" w:hAnsi="Arial"/>
          <w:sz w:val="18"/>
          <w:szCs w:val="18"/>
          <w:color w:val="auto"/>
        </w:rPr>
        <w:t>Date: February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SHANE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71120</wp:posOffset>
            </wp:positionV>
            <wp:extent cx="2675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Shane Kovacs</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2" w:right="25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03">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o"/>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decimal"/>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decimal"/>
      <w:start w:val="4"/>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decimal"/>
      <w:start w:val="3"/>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1."/>
      <w:numFmt w:val="decimal"/>
      <w:start w:val="2"/>
    </w:lvl>
  </w:abstractNum>
  <w:abstractNum w:abstractNumId="47">
    <w:nsid w:val="100F8FCA"/>
    <w:multiLevelType w:val="hybridMultilevel"/>
    <w:lvl w:ilvl="0">
      <w:lvlJc w:val="left"/>
      <w:lvlText w:val="%1."/>
      <w:numFmt w:val="decimal"/>
      <w:start w:val="2"/>
    </w:lvl>
  </w:abstractNum>
  <w:abstractNum w:abstractNumId="48">
    <w:nsid w:val="6590700B"/>
    <w:multiLevelType w:val="hybridMultilevel"/>
    <w:lvl w:ilvl="0">
      <w:lvlJc w:val="left"/>
      <w:lvlText w:val="%1."/>
      <w:numFmt w:val="decimal"/>
      <w:start w:val="2"/>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1."/>
      <w:numFmt w:val="decimal"/>
      <w:start w:val="2"/>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1."/>
      <w:numFmt w:val="decimal"/>
      <w:start w:val="13"/>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1."/>
      <w:numFmt w:val="decimal"/>
      <w:start w:val="2"/>
    </w:lvl>
  </w:abstractNum>
  <w:abstractNum w:abstractNumId="64">
    <w:nsid w:val="11447B73"/>
    <w:multiLevelType w:val="hybridMultilevel"/>
    <w:lvl w:ilvl="0">
      <w:lvlJc w:val="left"/>
      <w:lvlText w:val="3"/>
      <w:numFmt w:val="bullet"/>
      <w:start w:val="1"/>
    </w:lvl>
    <w:lvl w:ilvl="1">
      <w:lvlJc w:val="left"/>
      <w:lvlText w:val="(%2)"/>
      <w:numFmt w:val="lowerLetter"/>
      <w:start w:val="1"/>
    </w:lvl>
  </w:abstractNum>
  <w:abstractNum w:abstractNumId="65">
    <w:nsid w:val="42963E5A"/>
    <w:multiLevelType w:val="hybridMultilevel"/>
    <w:lvl w:ilvl="0">
      <w:lvlJc w:val="left"/>
      <w:lvlText w:val="%1"/>
      <w:numFmt w:val="lowerLetter"/>
      <w:start w:val="1"/>
    </w:lvl>
    <w:lvl w:ilvl="1">
      <w:lvlJc w:val="left"/>
      <w:lvlText w:val="(%2)"/>
      <w:numFmt w:val="lowerLetter"/>
      <w:start w:val="5"/>
    </w:lvl>
  </w:abstractNum>
  <w:abstractNum w:abstractNumId="66">
    <w:nsid w:val="A0382C5"/>
    <w:multiLevelType w:val="hybridMultilevel"/>
    <w:lvl w:ilvl="0">
      <w:lvlJc w:val="left"/>
      <w:lvlText w:val="(%1)"/>
      <w:numFmt w:val="lowerLetter"/>
      <w:start w:val="35"/>
    </w:lvl>
    <w:lvl w:ilvl="1">
      <w:lvlJc w:val="left"/>
      <w:lvlText w:val="(%2)"/>
      <w:numFmt w:val="lowerLetter"/>
      <w:start w:val="6"/>
    </w:lvl>
  </w:abstractNum>
  <w:abstractNum w:abstractNumId="67">
    <w:nsid w:val="8F2B15E"/>
    <w:multiLevelType w:val="hybridMultilevel"/>
    <w:lvl w:ilvl="0">
      <w:lvlJc w:val="left"/>
      <w:lvlText w:val="%1"/>
      <w:numFmt w:val="decimal"/>
      <w:start w:val="1"/>
    </w:lvl>
    <w:lvl w:ilvl="1">
      <w:lvlJc w:val="left"/>
      <w:lvlText w:val="(%2)"/>
      <w:numFmt w:val="lowerLetter"/>
      <w:start w:val="7"/>
    </w:lvl>
  </w:abstractNum>
  <w:abstractNum w:abstractNumId="68">
    <w:nsid w:val="1A32234B"/>
    <w:multiLevelType w:val="hybridMultilevel"/>
    <w:lvl w:ilvl="0">
      <w:lvlJc w:val="left"/>
      <w:lvlText w:val="%1."/>
      <w:numFmt w:val="decimal"/>
      <w:start w:val="4"/>
    </w:lvl>
    <w:lvl w:ilvl="1">
      <w:lvlJc w:val="left"/>
      <w:lvlText w:val="%2"/>
      <w:numFmt w:val="lowerLetter"/>
      <w:start w:val="1"/>
    </w:lvl>
  </w:abstractNum>
  <w:abstractNum w:abstractNumId="69">
    <w:nsid w:val="3B0FD379"/>
    <w:multiLevelType w:val="hybridMultilevel"/>
    <w:lvl w:ilvl="0">
      <w:lvlJc w:val="left"/>
      <w:lvlText w:val="%1."/>
      <w:numFmt w:val="decimal"/>
      <w:start w:val="5"/>
    </w:lvl>
    <w:lvl w:ilvl="1">
      <w:lvlJc w:val="left"/>
      <w:lvlText w:val="(%2)"/>
      <w:numFmt w:val="lowerLetter"/>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decimal"/>
      <w:start w:val="2"/>
    </w:lvl>
  </w:abstractNum>
  <w:abstractNum w:abstractNumId="72">
    <w:nsid w:val="60B6DF70"/>
    <w:multiLevelType w:val="hybridMultilevel"/>
    <w:lvl w:ilvl="0">
      <w:lvlJc w:val="left"/>
      <w:lvlText w:val="%1."/>
      <w:numFmt w:val="decimal"/>
      <w:start w:val="3"/>
    </w:lvl>
  </w:abstractNum>
  <w:abstractNum w:abstractNumId="73">
    <w:nsid w:val="6A5EE64"/>
    <w:multiLevelType w:val="hybridMultilevel"/>
    <w:lvl w:ilvl="0">
      <w:lvlJc w:val="left"/>
      <w:lvlText w:val="%1."/>
      <w:numFmt w:val="decimal"/>
      <w:start w:val="4"/>
    </w:lvl>
    <w:lvl w:ilvl="1">
      <w:lvlJc w:val="left"/>
      <w:lvlText w:val="(%2)"/>
      <w:numFmt w:val="lowerLetter"/>
      <w:start w:val="1"/>
    </w:lvl>
  </w:abstractNum>
  <w:abstractNum w:abstractNumId="74">
    <w:nsid w:val="1433062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75">
    <w:nsid w:val="7FFFCA11"/>
    <w:multiLevelType w:val="hybridMultilevel"/>
    <w:lvl w:ilvl="0">
      <w:lvlJc w:val="left"/>
      <w:lvlText w:val="(%1)"/>
      <w:numFmt w:val="decimal"/>
      <w:start w:val="3"/>
    </w:lvl>
    <w:lvl w:ilvl="1">
      <w:lvlJc w:val="left"/>
      <w:lvlText w:val="(%2)"/>
      <w:numFmt w:val="lowerLetter"/>
      <w:start w:val="3"/>
    </w:lvl>
    <w:lvl w:ilvl="2">
      <w:lvlJc w:val="left"/>
      <w:lvlText w:val="(%3)"/>
      <w:numFmt w:val="lowerLetter"/>
      <w:start w:val="9"/>
    </w:lvl>
  </w:abstractNum>
  <w:abstractNum w:abstractNumId="76">
    <w:nsid w:val="1A27709E"/>
    <w:multiLevelType w:val="hybridMultilevel"/>
    <w:lvl w:ilvl="0">
      <w:lvlJc w:val="left"/>
      <w:lvlText w:val="(%1)"/>
      <w:numFmt w:val="lowerRoman"/>
      <w:start w:val="2"/>
    </w:lvl>
  </w:abstractNum>
  <w:abstractNum w:abstractNumId="77">
    <w:nsid w:val="71EA1109"/>
    <w:multiLevelType w:val="hybridMultilevel"/>
    <w:lvl w:ilvl="0">
      <w:lvlJc w:val="left"/>
      <w:lvlText w:val="%1."/>
      <w:numFmt w:val="decimal"/>
      <w:start w:val="5"/>
    </w:lvl>
  </w:abstractNum>
  <w:abstractNum w:abstractNumId="78">
    <w:nsid w:val="100F59DC"/>
    <w:multiLevelType w:val="hybridMultilevel"/>
    <w:lvl w:ilvl="0">
      <w:lvlJc w:val="left"/>
      <w:lvlText w:val="%1."/>
      <w:numFmt w:val="decimal"/>
      <w:start w:val="6"/>
    </w:lvl>
  </w:abstractNum>
  <w:abstractNum w:abstractNumId="79">
    <w:nsid w:val="7FB7E0AA"/>
    <w:multiLevelType w:val="hybridMultilevel"/>
    <w:lvl w:ilvl="0">
      <w:lvlJc w:val="left"/>
      <w:lvlText w:val="%1."/>
      <w:numFmt w:val="decimal"/>
      <w:start w:val="7"/>
    </w:lvl>
  </w:abstractNum>
  <w:abstractNum w:abstractNumId="80">
    <w:nsid w:val="6EB5BD4"/>
    <w:multiLevelType w:val="hybridMultilevel"/>
    <w:lvl w:ilvl="0">
      <w:lvlJc w:val="left"/>
      <w:lvlText w:val="%1."/>
      <w:numFmt w:val="decimal"/>
      <w:start w:val="8"/>
    </w:lvl>
    <w:lvl w:ilvl="1">
      <w:lvlJc w:val="left"/>
      <w:lvlText w:val="(%2)"/>
      <w:numFmt w:val="lowerLetter"/>
      <w:start w:val="1"/>
    </w:lvl>
  </w:abstractNum>
  <w:abstractNum w:abstractNumId="81">
    <w:nsid w:val="6F6DD9AC"/>
    <w:multiLevelType w:val="hybridMultilevel"/>
    <w:lvl w:ilvl="0">
      <w:lvlJc w:val="left"/>
      <w:lvlText w:val="%1"/>
      <w:numFmt w:val="decimal"/>
      <w:start w:val="1"/>
    </w:lvl>
    <w:lvl w:ilvl="1">
      <w:lvlJc w:val="left"/>
      <w:lvlText w:val="(%2)"/>
      <w:numFmt w:val="lowerLetter"/>
      <w:start w:val="2"/>
    </w:lvl>
  </w:abstractNum>
  <w:abstractNum w:abstractNumId="82">
    <w:nsid w:val="94211F2"/>
    <w:multiLevelType w:val="hybridMultilevel"/>
    <w:lvl w:ilvl="0">
      <w:lvlJc w:val="left"/>
      <w:lvlText w:val="%1."/>
      <w:numFmt w:val="decimal"/>
      <w:start w:val="9"/>
    </w:lvl>
    <w:lvl w:ilvl="1">
      <w:lvlJc w:val="left"/>
      <w:lvlText w:val="(%2)"/>
      <w:numFmt w:val="lowerLetter"/>
      <w:start w:val="1"/>
    </w:lvl>
  </w:abstractNum>
  <w:abstractNum w:abstractNumId="83">
    <w:nsid w:val="885E1B"/>
    <w:multiLevelType w:val="hybridMultilevel"/>
    <w:lvl w:ilvl="0">
      <w:lvlJc w:val="left"/>
      <w:lvlText w:val="(%1)"/>
      <w:numFmt w:val="lowerLetter"/>
      <w:start w:val="5"/>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2019-12-29T13:05:08Z</dcterms:created>
  <dcterms:modified xsi:type="dcterms:W3CDTF">2019-12-29T13:05:08Z</dcterms:modified>
</cp:coreProperties>
</file>