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2017</w:t>
      </w:r>
    </w:p>
    <w:p>
      <w:pPr>
        <w:spacing w:after="0" w:line="1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PTC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Company as Specified in Charter)</w:t>
      </w:r>
    </w:p>
    <w:p>
      <w:pPr>
        <w:sectPr>
          <w:pgSz w:w="11900" w:h="16838" w:orient="portrait"/>
          <w:cols w:equalWidth="0" w:num="1">
            <w:col w:w="11360"/>
          </w:cols>
          <w:pgMar w:left="240" w:top="463" w:right="299" w:bottom="1440" w:gutter="0" w:footer="0" w:header="0"/>
        </w:sectPr>
      </w:pPr>
    </w:p>
    <w:p>
      <w:pPr>
        <w:spacing w:after="0" w:line="151"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620"/>
        <w:spacing w:after="0"/>
        <w:rPr>
          <w:sz w:val="20"/>
          <w:szCs w:val="20"/>
          <w:color w:val="auto"/>
        </w:rPr>
      </w:pPr>
      <w:r>
        <w:rPr>
          <w:rFonts w:ascii="Arial" w:cs="Arial" w:eastAsia="Arial" w:hAnsi="Arial"/>
          <w:sz w:val="16"/>
          <w:szCs w:val="16"/>
          <w:b w:val="1"/>
          <w:bCs w:val="1"/>
          <w:color w:val="auto"/>
        </w:rPr>
        <w:t>001-35969</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04-3416587</w:t>
      </w:r>
    </w:p>
    <w:p>
      <w:pPr>
        <w:spacing w:after="0" w:line="90" w:lineRule="exact"/>
        <w:rPr>
          <w:sz w:val="24"/>
          <w:szCs w:val="24"/>
          <w:color w:val="auto"/>
        </w:rPr>
      </w:pPr>
    </w:p>
    <w:p>
      <w:pPr>
        <w:sectPr>
          <w:pgSz w:w="11900" w:h="16838" w:orient="portrait"/>
          <w:cols w:equalWidth="0" w:num="3">
            <w:col w:w="4440" w:space="720"/>
            <w:col w:w="3400" w:space="720"/>
            <w:col w:w="2080"/>
          </w:cols>
          <w:pgMar w:left="240" w:top="463" w:right="29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320" w:space="720"/>
            <w:col w:w="3280" w:space="720"/>
            <w:col w:w="2320"/>
          </w:cols>
          <w:pgMar w:left="240" w:top="463" w:right="299" w:bottom="1440" w:gutter="0" w:footer="0" w:header="0"/>
          <w:type w:val="continuous"/>
        </w:sectPr>
      </w:pPr>
    </w:p>
    <w:p>
      <w:pPr>
        <w:ind w:left="3140"/>
        <w:spacing w:after="0"/>
        <w:rPr>
          <w:sz w:val="20"/>
          <w:szCs w:val="20"/>
          <w:color w:val="auto"/>
        </w:rPr>
      </w:pPr>
      <w:r>
        <w:rPr>
          <w:rFonts w:ascii="Arial" w:cs="Arial" w:eastAsia="Arial" w:hAnsi="Arial"/>
          <w:sz w:val="16"/>
          <w:szCs w:val="16"/>
          <w:b w:val="1"/>
          <w:bCs w:val="1"/>
          <w:color w:val="auto"/>
        </w:rPr>
        <w:t>100 Corporate Court</w:t>
      </w:r>
    </w:p>
    <w:p>
      <w:pPr>
        <w:sectPr>
          <w:pgSz w:w="11900" w:h="16838" w:orient="portrait"/>
          <w:cols w:equalWidth="0" w:num="1">
            <w:col w:w="11360"/>
          </w:cols>
          <w:pgMar w:left="240" w:top="463" w:right="299" w:bottom="1440" w:gutter="0" w:footer="0" w:header="0"/>
          <w:type w:val="continuous"/>
        </w:sectPr>
      </w:pPr>
    </w:p>
    <w:p>
      <w:pPr>
        <w:spacing w:after="0" w:line="86"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South Plainfield, NJ</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07080</w:t>
      </w:r>
    </w:p>
    <w:p>
      <w:pPr>
        <w:spacing w:after="0" w:line="90" w:lineRule="exact"/>
        <w:rPr>
          <w:sz w:val="24"/>
          <w:szCs w:val="24"/>
          <w:color w:val="auto"/>
        </w:rPr>
      </w:pPr>
    </w:p>
    <w:p>
      <w:pPr>
        <w:sectPr>
          <w:pgSz w:w="11900" w:h="16838" w:orient="portrait"/>
          <w:cols w:equalWidth="0" w:num="2">
            <w:col w:w="8360" w:space="720"/>
            <w:col w:w="2280"/>
          </w:cols>
          <w:pgMar w:left="240" w:top="463" w:right="299" w:bottom="1440" w:gutter="0" w:footer="0" w:header="0"/>
          <w:type w:val="continuous"/>
        </w:sectPr>
      </w:pPr>
    </w:p>
    <w:p>
      <w:pPr>
        <w:ind w:left="2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200" w:space="720"/>
            <w:col w:w="2440"/>
          </w:cols>
          <w:pgMar w:left="240" w:top="463" w:right="299" w:bottom="1440" w:gutter="0" w:footer="0" w:header="0"/>
          <w:type w:val="continuous"/>
        </w:sectPr>
      </w:pP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 xml:space="preserve">Company’s telephone number, including area code: </w:t>
      </w:r>
      <w:r>
        <w:rPr>
          <w:rFonts w:ascii="Arial" w:cs="Arial" w:eastAsia="Arial" w:hAnsi="Arial"/>
          <w:sz w:val="16"/>
          <w:szCs w:val="16"/>
          <w:b w:val="1"/>
          <w:bCs w:val="1"/>
          <w:color w:val="auto"/>
        </w:rPr>
        <w:t>(908) 222-7000</w:t>
      </w:r>
    </w:p>
    <w:p>
      <w:pPr>
        <w:spacing w:after="0" w:line="2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463" w:right="299" w:bottom="1440" w:gutter="0" w:footer="0" w:header="0"/>
          <w:type w:val="continuous"/>
        </w:sectPr>
      </w:pPr>
    </w:p>
    <w:p>
      <w:pPr>
        <w:spacing w:after="0" w:line="234"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17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o</w:t>
      </w:r>
    </w:p>
    <w:p>
      <w:pPr>
        <w:spacing w:after="0" w:line="193" w:lineRule="exact"/>
        <w:rPr>
          <w:sz w:val="24"/>
          <w:szCs w:val="24"/>
          <w:color w:val="auto"/>
        </w:rPr>
      </w:pPr>
    </w:p>
    <w:p>
      <w:pPr>
        <w:ind w:right="80"/>
        <w:spacing w:after="0" w:line="26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463" w:right="2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5, 2017, PTC Therapeutics, Inc. (the “Company”) entered into a credit and security agreement with MidCap Financial Trust, a Delaware statutory trust (“MidCap”), as administrative agent and MidCap and certain other financial institutions as lenders thereunder (the “Credit Agreement”) that provides for a senior secured term loan facility of $60.0 million, of which $40.0 million was drawn by the Company on May 5, 2017. The remaining $20.0 million under the senior secured term loan facility will become available to the Company upon its demonstration (on or prior to December 31, 2018) of net product revenue equaling or exceeding $120.0 million for the trailing 12 month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Interest Rate</w:t>
      </w:r>
      <w:r>
        <w:rPr>
          <w:rFonts w:ascii="Arial" w:cs="Arial" w:eastAsia="Arial" w:hAnsi="Arial"/>
          <w:sz w:val="16"/>
          <w:szCs w:val="16"/>
          <w:color w:val="auto"/>
        </w:rPr>
        <w:t>. Borrowings under the Credit Agreement bear interest at a rate per annum equal to LIBOR (with a LIBOR floor rate of 1.00%) plus 6.15%.</w:t>
      </w:r>
    </w:p>
    <w:p>
      <w:pPr>
        <w:spacing w:after="0" w:line="24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Amortization and Final Maturity</w:t>
      </w:r>
      <w:r>
        <w:rPr>
          <w:rFonts w:ascii="Arial" w:cs="Arial" w:eastAsia="Arial" w:hAnsi="Arial"/>
          <w:sz w:val="17"/>
          <w:szCs w:val="17"/>
          <w:color w:val="auto"/>
        </w:rPr>
        <w:t>. The Company is obligated to make only interest payments (payable monthly in arrears) through April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Commencing on May 1, 2019 and continuing for the remaining twenty-four months of the facility, the Company will be required to make monthly interest payments and monthly principal payments based on the straight-line amortization schedule set forth in the Credit Agreement, subject to certain adjustments as described therein. The final maturity date under the Credit Agreement is May 1, 2021, unless earlier terminated.</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Mandatory Prepayments</w:t>
      </w:r>
      <w:r>
        <w:rPr>
          <w:rFonts w:ascii="Arial" w:cs="Arial" w:eastAsia="Arial" w:hAnsi="Arial"/>
          <w:sz w:val="18"/>
          <w:szCs w:val="18"/>
          <w:color w:val="auto"/>
        </w:rPr>
        <w:t>. The Credit Agreement requires the Company to dedicate 100% of certain insurance proceeds to the prepayment of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subject to certain exceptions and net of certain expenses and repayments.</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i w:val="1"/>
          <w:iCs w:val="1"/>
          <w:color w:val="auto"/>
        </w:rPr>
        <w:t>Voluntary Prepayments</w:t>
      </w:r>
      <w:r>
        <w:rPr>
          <w:rFonts w:ascii="Arial" w:cs="Arial" w:eastAsia="Arial" w:hAnsi="Arial"/>
          <w:sz w:val="18"/>
          <w:szCs w:val="18"/>
          <w:color w:val="auto"/>
        </w:rPr>
        <w:t>. The Company may voluntarily prepay outstanding loans under the Credit Agreement, in whole but not in part, at any time upon</w:t>
      </w:r>
      <w:r>
        <w:rPr>
          <w:rFonts w:ascii="Arial" w:cs="Arial" w:eastAsia="Arial" w:hAnsi="Arial"/>
          <w:sz w:val="18"/>
          <w:szCs w:val="18"/>
          <w:i w:val="1"/>
          <w:iCs w:val="1"/>
          <w:color w:val="auto"/>
        </w:rPr>
        <w:t xml:space="preserve"> </w:t>
      </w:r>
      <w:r>
        <w:rPr>
          <w:rFonts w:ascii="Arial" w:cs="Arial" w:eastAsia="Arial" w:hAnsi="Arial"/>
          <w:sz w:val="18"/>
          <w:szCs w:val="18"/>
          <w:color w:val="auto"/>
        </w:rPr>
        <w:t>15 days’ written notice.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Prepayment Fees. </w:t>
      </w:r>
      <w:r>
        <w:rPr>
          <w:rFonts w:ascii="Arial" w:cs="Arial" w:eastAsia="Arial" w:hAnsi="Arial"/>
          <w:sz w:val="17"/>
          <w:szCs w:val="17"/>
          <w:color w:val="auto"/>
        </w:rPr>
        <w:t>In connection with both mandatory and voluntary prepayments, the Company will be required to pay a prepayment fee equal to</w:t>
      </w:r>
    </w:p>
    <w:p>
      <w:pPr>
        <w:spacing w:after="0" w:line="35" w:lineRule="exact"/>
        <w:rPr>
          <w:sz w:val="20"/>
          <w:szCs w:val="20"/>
          <w:color w:val="auto"/>
        </w:rPr>
      </w:pPr>
    </w:p>
    <w:p>
      <w:pPr>
        <w:ind w:right="480" w:firstLine="8"/>
        <w:spacing w:after="0" w:line="302"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3.00% of the outstanding principal of such advance, if the prepayment is made within twelve months of the date of such advance, (ii) 2.00% of the outstanding principal of such advance, if the prepayment is made between twelve months and twenty-four months after the date of such advance or (iii) 1.00% of the outstanding principal of such advance, if the prepayment is made later than twenty-four months after the date of such advance.</w:t>
      </w:r>
    </w:p>
    <w:p>
      <w:pPr>
        <w:spacing w:after="0" w:line="15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Security</w:t>
      </w:r>
      <w:r>
        <w:rPr>
          <w:rFonts w:ascii="Arial" w:cs="Arial" w:eastAsia="Arial" w:hAnsi="Arial"/>
          <w:sz w:val="18"/>
          <w:szCs w:val="18"/>
          <w:color w:val="auto"/>
        </w:rPr>
        <w:t>. Subject to customary exceptions and exclusions, all obligations under the Credit Agreement are secured pursuant to the terms of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 Pledge Agreement between the Company, certain subsidiaries of the Company and MidCap (the “Pledge Agreement”), and an Intellectual Property and Security Agreement between the Company and MidCap (the “IP Security Agreement” and together with the Credit Agreement and the Pledge Agreement, the “Financing Agreements”), each dated May 5, 2017. Under the Financing Agreements, the Company provides to MidCap and the other lenders:</w:t>
      </w:r>
    </w:p>
    <w:p>
      <w:pPr>
        <w:spacing w:after="0" w:line="80" w:lineRule="exact"/>
        <w:rPr>
          <w:sz w:val="20"/>
          <w:szCs w:val="20"/>
          <w:color w:val="auto"/>
        </w:rPr>
      </w:pPr>
    </w:p>
    <w:p>
      <w:pPr>
        <w:ind w:left="740" w:right="240" w:hanging="408"/>
        <w:spacing w:after="0" w:line="253"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perfected, first-priority security interest in all of the Company’s personal property, including, without limitation, all of the Company’s goods, accounts, equipment, inventory, contract rights or rights of payment of money, leases, license agreements, franchise agreements, commercial tort claims, documents, instruments, chattel paper, cash, deposit accounts, securities accounts, fixtures, letter of credit rights, securities, and all other investment property, supporting obligations, financial assets and all books and records related to the foregoing, subject to certain exceptions and limitations;</w:t>
      </w:r>
    </w:p>
    <w:p>
      <w:pPr>
        <w:spacing w:after="0" w:line="3" w:lineRule="exact"/>
        <w:rPr>
          <w:rFonts w:ascii="Arial" w:cs="Arial" w:eastAsia="Arial" w:hAnsi="Arial"/>
          <w:sz w:val="18"/>
          <w:szCs w:val="18"/>
          <w:color w:val="auto"/>
        </w:rPr>
      </w:pPr>
    </w:p>
    <w:p>
      <w:pPr>
        <w:ind w:left="740" w:right="60" w:hanging="40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perfected, first-priority security interest in all of the Company’s intellectual property (except that this security interest will not be perfected in intellectual property located outside the United States unless the Company’s cash position falls below a pre-specified threshold), including, without limitation, any and all copyright rights, copyright applications, copyright registrations and like protection, trade secrets, design rights, patents, patent applications and like protections, trademark and servicemark rights, mask works or similar rights and any and all claims for damages, licenses or other rights, and proceeds and products related to the foregoing; and</w:t>
      </w:r>
    </w:p>
    <w:p>
      <w:pPr>
        <w:spacing w:after="0" w:line="2" w:lineRule="exact"/>
        <w:rPr>
          <w:rFonts w:ascii="Arial" w:cs="Arial" w:eastAsia="Arial" w:hAnsi="Arial"/>
          <w:sz w:val="18"/>
          <w:szCs w:val="18"/>
          <w:color w:val="auto"/>
        </w:rPr>
      </w:pPr>
    </w:p>
    <w:p>
      <w:pPr>
        <w:ind w:left="740" w:right="160" w:hanging="408"/>
        <w:spacing w:after="0" w:line="261"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perfected, first-priority pledge of 65% of the equity ownership interests directly held by the Company in PTC Therapeutics Holdings (Bermuda) Corp. Limited.</w:t>
      </w:r>
    </w:p>
    <w:p>
      <w:pPr>
        <w:sectPr>
          <w:pgSz w:w="11900" w:h="16838" w:orient="portrait"/>
          <w:cols w:equalWidth="0" w:num="1">
            <w:col w:w="11400"/>
          </w:cols>
          <w:pgMar w:left="240" w:top="688" w:right="259" w:bottom="1440" w:gutter="0" w:footer="0" w:header="0"/>
        </w:sectPr>
      </w:pPr>
    </w:p>
    <w:bookmarkStart w:id="2" w:name="page3"/>
    <w:bookmarkEnd w:id="2"/>
    <w:p>
      <w:pPr>
        <w:ind w:right="60" w:firstLine="324"/>
        <w:spacing w:after="0" w:line="264" w:lineRule="auto"/>
        <w:rPr>
          <w:sz w:val="20"/>
          <w:szCs w:val="20"/>
          <w:color w:val="auto"/>
        </w:rPr>
      </w:pPr>
      <w:r>
        <w:rPr>
          <w:rFonts w:ascii="Arial" w:cs="Arial" w:eastAsia="Arial" w:hAnsi="Arial"/>
          <w:sz w:val="18"/>
          <w:szCs w:val="18"/>
          <w:i w:val="1"/>
          <w:iCs w:val="1"/>
          <w:color w:val="auto"/>
        </w:rPr>
        <w:t>Representations and Warranties and Certain Covenants</w:t>
      </w:r>
      <w:r>
        <w:rPr>
          <w:rFonts w:ascii="Arial" w:cs="Arial" w:eastAsia="Arial" w:hAnsi="Arial"/>
          <w:sz w:val="18"/>
          <w:szCs w:val="18"/>
          <w:color w:val="auto"/>
        </w:rPr>
        <w:t>. The Credit Agreement contains certain customary representations and warranties, affirmative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and conditions. The Credit Agreement also contains a number of negative covenants that, among other things and subject to certain exceptions and waivers, restrict the Company’s ability to:</w:t>
      </w:r>
    </w:p>
    <w:p>
      <w:pPr>
        <w:spacing w:after="0" w:line="73" w:lineRule="exact"/>
        <w:rPr>
          <w:sz w:val="20"/>
          <w:szCs w:val="20"/>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pay dividends on its capital stock or redeem, repurchase or retire its capital stock or its other indebtedness, including subordinated indebtedness;</w:t>
      </w:r>
    </w:p>
    <w:p>
      <w:pPr>
        <w:spacing w:after="0" w:line="32" w:lineRule="exact"/>
        <w:rPr>
          <w:rFonts w:ascii="Arial" w:cs="Arial" w:eastAsia="Arial" w:hAnsi="Arial"/>
          <w:sz w:val="16"/>
          <w:szCs w:val="16"/>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loans and acquisitions;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engage in transactions with its affiliates;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materially alter the business it conducts;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 or merge;</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any restrictive agreements;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any new deposit accounts or security accounts not subject to an account control agreement;</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any significant change in accounting treatment or reporting practices; and</w:t>
      </w:r>
    </w:p>
    <w:p>
      <w:pPr>
        <w:spacing w:after="0" w:line="9" w:lineRule="exact"/>
        <w:rPr>
          <w:rFonts w:ascii="Arial" w:cs="Arial" w:eastAsia="Arial" w:hAnsi="Arial"/>
          <w:sz w:val="18"/>
          <w:szCs w:val="18"/>
          <w:color w:val="auto"/>
        </w:rPr>
      </w:pPr>
    </w:p>
    <w:p>
      <w:pPr>
        <w:ind w:left="740" w:hanging="40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amend, modify or waive certain material agreements (if the effect on the Company or loans would be material) or its organizational documents.</w:t>
      </w:r>
    </w:p>
    <w:p>
      <w:pPr>
        <w:spacing w:after="0" w:line="12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Further, the Credit Agreement contains financial covenants, including a covenant that requires the Company to not have less than $100.0 million of net product revenue (raised to $120.0 million if the additional $20.0 million term loan is issued) for the trailing 12-month period, with compliance measured on the last day of each fiscal quarter beginning on December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The Credit Agreement contains various events of default, including the following:</w:t>
      </w:r>
    </w:p>
    <w:p>
      <w:pPr>
        <w:spacing w:after="0" w:line="117" w:lineRule="exact"/>
        <w:rPr>
          <w:sz w:val="20"/>
          <w:szCs w:val="20"/>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make any payment of principal or interest under the Credit Agreement when due;</w:t>
      </w:r>
    </w:p>
    <w:p>
      <w:pPr>
        <w:spacing w:after="0" w:line="23"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any term contained in the Credit Agreement or related documents;</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any incorrect representation, warranty, certification or statement with respect to the Credit Agreement or related document;</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pay when due any other outstanding debt in the excess of $1.0 million;</w:t>
      </w:r>
    </w:p>
    <w:p>
      <w:pPr>
        <w:spacing w:after="0" w:line="9" w:lineRule="exact"/>
        <w:rPr>
          <w:rFonts w:ascii="Arial" w:cs="Arial" w:eastAsia="Arial" w:hAnsi="Arial"/>
          <w:sz w:val="18"/>
          <w:szCs w:val="18"/>
          <w:color w:val="auto"/>
        </w:rPr>
      </w:pPr>
    </w:p>
    <w:p>
      <w:pPr>
        <w:ind w:left="780" w:right="500" w:hanging="448"/>
        <w:spacing w:after="0" w:line="250"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commencing a voluntary case or other proceeding, or having such case or proceeding commenced against the Company, seeking liquidation, reorganization or other relief with respect to debts under any bankruptcy or insolvency;</w:t>
      </w:r>
    </w:p>
    <w:p>
      <w:pPr>
        <w:ind w:left="780" w:right="140" w:hanging="448"/>
        <w:spacing w:after="0" w:line="250"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terminating a pension plan if such termination results in the requirement of to make contributions or incur a liability or obligation to such pension plan in the excess of $1.0 million;</w:t>
      </w: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or more judgments or orders for the payment of money not covered by insurance in the excess of $1.0 million;</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lien or collateral created under the Credit agreement, Pledge Agreement or IP Security Agreement failing to constitute a valid lien;</w:t>
      </w:r>
    </w:p>
    <w:p>
      <w:pPr>
        <w:spacing w:after="0" w:line="20" w:lineRule="exact"/>
        <w:rPr>
          <w:rFonts w:ascii="Arial" w:cs="Arial" w:eastAsia="Arial" w:hAnsi="Arial"/>
          <w:sz w:val="17"/>
          <w:szCs w:val="17"/>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institution of governmental authority or criminal proceeding against the Company;</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event of default occurring under any guarantee of any portion of the Credit Agreement or related agreements;</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payments of any subordinated debt (other than specifically permitted payments);</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Company’s common stock fails to remain publicly traded and registered with a public securities exchange;</w:t>
      </w:r>
    </w:p>
    <w:p>
      <w:pPr>
        <w:spacing w:after="0" w:line="9"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event that results in the Company losing its marketing authorization for Translarna in the European Economic Area;</w:t>
      </w:r>
    </w:p>
    <w:p>
      <w:pPr>
        <w:spacing w:after="0" w:line="9" w:lineRule="exact"/>
        <w:rPr>
          <w:rFonts w:ascii="Arial" w:cs="Arial" w:eastAsia="Arial" w:hAnsi="Arial"/>
          <w:sz w:val="18"/>
          <w:szCs w:val="18"/>
          <w:color w:val="auto"/>
        </w:rPr>
      </w:pPr>
    </w:p>
    <w:p>
      <w:pPr>
        <w:ind w:left="780" w:hanging="448"/>
        <w:spacing w:after="0" w:line="250"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voluntary withdrawal or institution of any action or proceeding by the FDA or similar governmental authority of any of the Company’s material products or product category from the market or enjoining the Company from manufacturing, marketing, selling or distributing such product or product category;</w:t>
      </w:r>
    </w:p>
    <w:p>
      <w:pPr>
        <w:spacing w:after="0" w:line="1" w:lineRule="exact"/>
        <w:rPr>
          <w:rFonts w:ascii="Arial" w:cs="Arial" w:eastAsia="Arial" w:hAnsi="Arial"/>
          <w:sz w:val="18"/>
          <w:szCs w:val="18"/>
          <w:color w:val="auto"/>
        </w:rPr>
      </w:pPr>
    </w:p>
    <w:p>
      <w:pPr>
        <w:ind w:left="780" w:right="60" w:hanging="448"/>
        <w:spacing w:after="0" w:line="250"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cross defaults under or the early termination of any material contract which such default or termination would reasonably be expected to result in a material adverse effect;</w:t>
      </w: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Financing Documents or certain related documents fail to constitute a valid and binding agreement; and</w:t>
      </w:r>
    </w:p>
    <w:p>
      <w:pPr>
        <w:sectPr>
          <w:pgSz w:w="11900" w:h="16838" w:orient="portrait"/>
          <w:cols w:equalWidth="0" w:num="1">
            <w:col w:w="11400"/>
          </w:cols>
          <w:pgMar w:left="240" w:top="476" w:right="259" w:bottom="1440" w:gutter="0" w:footer="0" w:header="0"/>
        </w:sectPr>
      </w:pPr>
    </w:p>
    <w:bookmarkStart w:id="3" w:name="page4"/>
    <w:bookmarkEnd w:id="3"/>
    <w:p>
      <w:pPr>
        <w:ind w:left="780" w:hanging="448"/>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occurrence of any event that could reasonably be expected to result in a material adverse effect.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Upon the occurrence and during the continuance of an event of default, MidCap may, and at the direction of a requisite percentage of the lenders must, (i) suspend or terminate the term loan commitment and Midcap and the other lenders’ obligations with respect thereto, and (ii) by notice to the Company, declare all or any portion of the obligations under the Credit Agreement to be immediately due and payable.</w:t>
      </w:r>
    </w:p>
    <w:p>
      <w:pPr>
        <w:spacing w:after="0" w:line="181"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In addition to MidCap’s other rights and available remedies, but subject to applicable cure periods, upon the occurrence and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continuance of an event of default, MidCap may, and at the direction of a requisite percentage of the lenders must, terminate the Credit Agreement.</w:t>
      </w:r>
    </w:p>
    <w:p>
      <w:pPr>
        <w:spacing w:after="0" w:line="12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may terminate the Credit Agreement upon fifteen days’ prior written notice, following which all outstanding obligations due thereunder shall be immediately due and payable.</w:t>
      </w:r>
    </w:p>
    <w:p>
      <w:pPr>
        <w:spacing w:after="0" w:line="170"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 xml:space="preserve">Customary Fees. </w:t>
      </w:r>
      <w:r>
        <w:rPr>
          <w:rFonts w:ascii="Arial" w:cs="Arial" w:eastAsia="Arial" w:hAnsi="Arial"/>
          <w:sz w:val="18"/>
          <w:szCs w:val="18"/>
          <w:color w:val="auto"/>
        </w:rPr>
        <w:t>Additionally, in connection with the Credit Agreement, the Company agreed to pay customary fees including an origination fee, final</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exit fee and monthly administration fees.</w:t>
      </w:r>
    </w:p>
    <w:p>
      <w:pPr>
        <w:spacing w:after="0" w:line="170"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 foregoing summary of the Credit Agreement is not complete and is qualified in its entirety by reference to the Credit Agreement, the Pledge Agreement and the IP Security Agreement, copies of which are filed as exhibits 10.1, 10.2 and 10.3, respectively to this Current Report on Form 8-K (this “Report”) and which are incorporated herein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8, 2017, the Company announced its financial results for the quarter ended March 31, 2017. The full text of the press release issued in connection with the announcement is furnished as Exhibit 99.1 to this Report.</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of this Current Report on Form 8-K is incorporated herein by reference in this Item 2.03.</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840" w:hanging="454"/>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Exhibits.</w:t>
      </w:r>
    </w:p>
    <w:p>
      <w:pPr>
        <w:spacing w:after="0" w:line="35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10.1</w:t>
            </w:r>
          </w:p>
        </w:tc>
        <w:tc>
          <w:tcPr>
            <w:tcW w:w="10900" w:type="dxa"/>
            <w:vAlign w:val="bottom"/>
          </w:tcPr>
          <w:p>
            <w:pPr>
              <w:ind w:left="800"/>
              <w:spacing w:after="0"/>
              <w:rPr>
                <w:sz w:val="20"/>
                <w:szCs w:val="20"/>
                <w:color w:val="auto"/>
              </w:rPr>
            </w:pPr>
            <w:r>
              <w:rPr>
                <w:rFonts w:ascii="Arial" w:cs="Arial" w:eastAsia="Arial" w:hAnsi="Arial"/>
                <w:sz w:val="18"/>
                <w:szCs w:val="18"/>
                <w:color w:val="auto"/>
                <w:w w:val="95"/>
              </w:rPr>
              <w:t>Credit and Security Agreement, dated May 5, 2017, by and among PTC Therapeutics Inc., MidCap Financial Trust and the additional</w:t>
            </w:r>
          </w:p>
        </w:tc>
      </w:tr>
      <w:tr>
        <w:trPr>
          <w:trHeight w:val="230"/>
        </w:trPr>
        <w:tc>
          <w:tcPr>
            <w:tcW w:w="500" w:type="dxa"/>
            <w:vAlign w:val="bottom"/>
          </w:tcPr>
          <w:p>
            <w:pPr>
              <w:spacing w:after="0"/>
              <w:rPr>
                <w:sz w:val="20"/>
                <w:szCs w:val="20"/>
                <w:color w:val="auto"/>
              </w:rPr>
            </w:pPr>
          </w:p>
        </w:tc>
        <w:tc>
          <w:tcPr>
            <w:tcW w:w="10900" w:type="dxa"/>
            <w:vAlign w:val="bottom"/>
          </w:tcPr>
          <w:p>
            <w:pPr>
              <w:ind w:left="800"/>
              <w:spacing w:after="0"/>
              <w:rPr>
                <w:sz w:val="20"/>
                <w:szCs w:val="20"/>
                <w:color w:val="auto"/>
              </w:rPr>
            </w:pPr>
            <w:r>
              <w:rPr>
                <w:rFonts w:ascii="Arial" w:cs="Arial" w:eastAsia="Arial" w:hAnsi="Arial"/>
                <w:sz w:val="18"/>
                <w:szCs w:val="18"/>
                <w:color w:val="auto"/>
              </w:rPr>
              <w:t>lenders thereto.</w:t>
            </w:r>
          </w:p>
        </w:tc>
      </w:tr>
      <w:tr>
        <w:trPr>
          <w:trHeight w:val="337"/>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10.2</w:t>
            </w:r>
          </w:p>
        </w:tc>
        <w:tc>
          <w:tcPr>
            <w:tcW w:w="10900" w:type="dxa"/>
            <w:vAlign w:val="bottom"/>
          </w:tcPr>
          <w:p>
            <w:pPr>
              <w:ind w:left="800"/>
              <w:spacing w:after="0"/>
              <w:rPr>
                <w:sz w:val="20"/>
                <w:szCs w:val="20"/>
                <w:color w:val="auto"/>
              </w:rPr>
            </w:pPr>
            <w:r>
              <w:rPr>
                <w:rFonts w:ascii="Arial" w:cs="Arial" w:eastAsia="Arial" w:hAnsi="Arial"/>
                <w:sz w:val="18"/>
                <w:szCs w:val="18"/>
                <w:color w:val="auto"/>
                <w:w w:val="89"/>
              </w:rPr>
              <w:t>Pledge Agreement, dated May 5, 2017, by and among PTC Therapeutics Inc., each of the subsidiaries listed thereto as pledgers and MidCap</w:t>
            </w:r>
          </w:p>
        </w:tc>
      </w:tr>
      <w:tr>
        <w:trPr>
          <w:trHeight w:val="230"/>
        </w:trPr>
        <w:tc>
          <w:tcPr>
            <w:tcW w:w="500" w:type="dxa"/>
            <w:vAlign w:val="bottom"/>
          </w:tcPr>
          <w:p>
            <w:pPr>
              <w:spacing w:after="0"/>
              <w:rPr>
                <w:sz w:val="20"/>
                <w:szCs w:val="20"/>
                <w:color w:val="auto"/>
              </w:rPr>
            </w:pPr>
          </w:p>
        </w:tc>
        <w:tc>
          <w:tcPr>
            <w:tcW w:w="10900" w:type="dxa"/>
            <w:vAlign w:val="bottom"/>
          </w:tcPr>
          <w:p>
            <w:pPr>
              <w:ind w:left="800"/>
              <w:spacing w:after="0"/>
              <w:rPr>
                <w:sz w:val="20"/>
                <w:szCs w:val="20"/>
                <w:color w:val="auto"/>
              </w:rPr>
            </w:pPr>
            <w:r>
              <w:rPr>
                <w:rFonts w:ascii="Arial" w:cs="Arial" w:eastAsia="Arial" w:hAnsi="Arial"/>
                <w:sz w:val="18"/>
                <w:szCs w:val="18"/>
                <w:color w:val="auto"/>
              </w:rPr>
              <w:t>Financial Trust.</w:t>
            </w:r>
          </w:p>
        </w:tc>
      </w:tr>
      <w:tr>
        <w:trPr>
          <w:trHeight w:val="351"/>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10.3</w:t>
            </w:r>
          </w:p>
        </w:tc>
        <w:tc>
          <w:tcPr>
            <w:tcW w:w="10900" w:type="dxa"/>
            <w:vAlign w:val="bottom"/>
          </w:tcPr>
          <w:p>
            <w:pPr>
              <w:ind w:left="800"/>
              <w:spacing w:after="0"/>
              <w:rPr>
                <w:sz w:val="20"/>
                <w:szCs w:val="20"/>
                <w:color w:val="auto"/>
              </w:rPr>
            </w:pPr>
            <w:r>
              <w:rPr>
                <w:rFonts w:ascii="Arial" w:cs="Arial" w:eastAsia="Arial" w:hAnsi="Arial"/>
                <w:sz w:val="18"/>
                <w:szCs w:val="18"/>
                <w:color w:val="auto"/>
                <w:w w:val="98"/>
              </w:rPr>
              <w:t>Intellectual Property Security Agreement, dated May 5, 2017, by and among PTC Therapeutics Inc. and MidCap Financial Trust.</w:t>
            </w:r>
          </w:p>
        </w:tc>
      </w:tr>
      <w:tr>
        <w:trPr>
          <w:trHeight w:val="351"/>
        </w:trPr>
        <w:tc>
          <w:tcPr>
            <w:tcW w:w="500" w:type="dxa"/>
            <w:vAlign w:val="bottom"/>
          </w:tcPr>
          <w:p>
            <w:pPr>
              <w:jc w:val="right"/>
              <w:ind w:right="90"/>
              <w:spacing w:after="0"/>
              <w:rPr>
                <w:sz w:val="20"/>
                <w:szCs w:val="20"/>
                <w:color w:val="auto"/>
              </w:rPr>
            </w:pPr>
            <w:r>
              <w:rPr>
                <w:rFonts w:ascii="Arial" w:cs="Arial" w:eastAsia="Arial" w:hAnsi="Arial"/>
                <w:sz w:val="18"/>
                <w:szCs w:val="18"/>
                <w:color w:val="auto"/>
                <w:w w:val="85"/>
              </w:rPr>
              <w:t>99.1</w:t>
            </w:r>
          </w:p>
        </w:tc>
        <w:tc>
          <w:tcPr>
            <w:tcW w:w="10900" w:type="dxa"/>
            <w:vAlign w:val="bottom"/>
          </w:tcPr>
          <w:p>
            <w:pPr>
              <w:ind w:left="180"/>
              <w:spacing w:after="0"/>
              <w:rPr>
                <w:sz w:val="20"/>
                <w:szCs w:val="20"/>
                <w:color w:val="auto"/>
              </w:rPr>
            </w:pPr>
            <w:r>
              <w:rPr>
                <w:rFonts w:ascii="Arial" w:cs="Arial" w:eastAsia="Arial" w:hAnsi="Arial"/>
                <w:sz w:val="18"/>
                <w:szCs w:val="18"/>
                <w:color w:val="auto"/>
              </w:rPr>
              <w:t>Press Release, dated May 8, 2017</w:t>
            </w:r>
          </w:p>
        </w:tc>
      </w:tr>
    </w:tbl>
    <w:p>
      <w:pPr>
        <w:sectPr>
          <w:pgSz w:w="11900" w:h="16838" w:orient="portrait"/>
          <w:cols w:equalWidth="0" w:num="1">
            <w:col w:w="11400"/>
          </w:cols>
          <w:pgMar w:left="240" w:top="368"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380" w:type="dxa"/>
            <w:vAlign w:val="bottom"/>
            <w:gridSpan w:val="2"/>
          </w:tcPr>
          <w:p>
            <w:pPr>
              <w:ind w:left="2480"/>
              <w:spacing w:after="0"/>
              <w:rPr>
                <w:sz w:val="20"/>
                <w:szCs w:val="20"/>
                <w:color w:val="auto"/>
              </w:rPr>
            </w:pPr>
            <w:r>
              <w:rPr>
                <w:rFonts w:ascii="Arial" w:cs="Arial" w:eastAsia="Arial" w:hAnsi="Arial"/>
                <w:sz w:val="18"/>
                <w:szCs w:val="18"/>
                <w:b w:val="1"/>
                <w:bCs w:val="1"/>
                <w:color w:val="auto"/>
              </w:rPr>
              <w:t>PTC Therapeutics, Inc.</w:t>
            </w:r>
          </w:p>
        </w:tc>
        <w:tc>
          <w:tcPr>
            <w:tcW w:w="0" w:type="dxa"/>
            <w:vAlign w:val="bottom"/>
          </w:tcPr>
          <w:p>
            <w:pPr>
              <w:spacing w:after="0"/>
              <w:rPr>
                <w:sz w:val="1"/>
                <w:szCs w:val="1"/>
                <w:color w:val="auto"/>
              </w:rPr>
            </w:pPr>
          </w:p>
        </w:tc>
      </w:tr>
      <w:tr>
        <w:trPr>
          <w:trHeight w:val="567"/>
        </w:trPr>
        <w:tc>
          <w:tcPr>
            <w:tcW w:w="3840" w:type="dxa"/>
            <w:vAlign w:val="bottom"/>
          </w:tcPr>
          <w:p>
            <w:pPr>
              <w:spacing w:after="0"/>
              <w:rPr>
                <w:sz w:val="20"/>
                <w:szCs w:val="20"/>
                <w:color w:val="auto"/>
              </w:rPr>
            </w:pPr>
            <w:r>
              <w:rPr>
                <w:rFonts w:ascii="Arial" w:cs="Arial" w:eastAsia="Arial" w:hAnsi="Arial"/>
                <w:sz w:val="18"/>
                <w:szCs w:val="18"/>
                <w:color w:val="auto"/>
              </w:rPr>
              <w:t>Date: May 8, 2017</w:t>
            </w:r>
          </w:p>
        </w:tc>
        <w:tc>
          <w:tcPr>
            <w:tcW w:w="3680" w:type="dxa"/>
            <w:vAlign w:val="bottom"/>
          </w:tcPr>
          <w:p>
            <w:pPr>
              <w:ind w:left="2480"/>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Shane Kovacs</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680" w:type="dxa"/>
            <w:vAlign w:val="bottom"/>
            <w:vMerge w:val="restart"/>
          </w:tcPr>
          <w:p>
            <w:pPr>
              <w:ind w:left="2480"/>
              <w:spacing w:after="0"/>
              <w:rPr>
                <w:sz w:val="20"/>
                <w:szCs w:val="20"/>
                <w:color w:val="auto"/>
              </w:rPr>
            </w:pPr>
            <w:r>
              <w:rPr>
                <w:rFonts w:ascii="Arial" w:cs="Arial" w:eastAsia="Arial" w:hAnsi="Arial"/>
                <w:sz w:val="18"/>
                <w:szCs w:val="18"/>
                <w:color w:val="auto"/>
              </w:rPr>
              <w:t>Name:</w:t>
            </w: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680" w:type="dxa"/>
            <w:vAlign w:val="bottom"/>
            <w:vMerge w:val="continue"/>
          </w:tcPr>
          <w:p>
            <w:pPr>
              <w:spacing w:after="0"/>
              <w:rPr>
                <w:sz w:val="20"/>
                <w:szCs w:val="20"/>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rPr>
              <w:t>Shane Kovacs</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3680" w:type="dxa"/>
            <w:vAlign w:val="bottom"/>
          </w:tcPr>
          <w:p>
            <w:pPr>
              <w:ind w:left="2480"/>
              <w:spacing w:after="0"/>
              <w:rPr>
                <w:sz w:val="20"/>
                <w:szCs w:val="20"/>
                <w:color w:val="auto"/>
              </w:rPr>
            </w:pPr>
            <w:r>
              <w:rPr>
                <w:rFonts w:ascii="Arial" w:cs="Arial" w:eastAsia="Arial" w:hAnsi="Arial"/>
                <w:sz w:val="18"/>
                <w:szCs w:val="18"/>
                <w:color w:val="auto"/>
              </w:rPr>
              <w:t>Title:</w:t>
            </w:r>
          </w:p>
        </w:tc>
        <w:tc>
          <w:tcPr>
            <w:tcW w:w="3700" w:type="dxa"/>
            <w:vAlign w:val="bottom"/>
          </w:tcPr>
          <w:p>
            <w:pPr>
              <w:ind w:left="4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4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608"/>
        </w:trPr>
        <w:tc>
          <w:tcPr>
            <w:tcW w:w="11400" w:type="dxa"/>
            <w:vAlign w:val="bottom"/>
            <w:gridSpan w:val="5"/>
          </w:tcPr>
          <w:p>
            <w:pPr>
              <w:spacing w:after="0"/>
              <w:rPr>
                <w:sz w:val="20"/>
                <w:szCs w:val="20"/>
                <w:color w:val="auto"/>
              </w:rPr>
            </w:pPr>
            <w:r>
              <w:rPr>
                <w:rFonts w:ascii="Arial" w:cs="Arial" w:eastAsia="Arial" w:hAnsi="Arial"/>
                <w:sz w:val="18"/>
                <w:szCs w:val="18"/>
                <w:b w:val="1"/>
                <w:bCs w:val="1"/>
                <w:color w:val="auto"/>
              </w:rPr>
              <w:t>Exhibit No.  Description</w:t>
            </w: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r>
      <w:tr>
        <w:trPr>
          <w:trHeight w:val="357"/>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2"/>
          </w:tcPr>
          <w:p>
            <w:pPr>
              <w:ind w:left="240"/>
              <w:spacing w:after="0"/>
              <w:rPr>
                <w:sz w:val="20"/>
                <w:szCs w:val="20"/>
                <w:color w:val="auto"/>
              </w:rPr>
            </w:pPr>
            <w:r>
              <w:rPr>
                <w:rFonts w:ascii="Arial" w:cs="Arial" w:eastAsia="Arial" w:hAnsi="Arial"/>
                <w:sz w:val="18"/>
                <w:szCs w:val="18"/>
                <w:color w:val="auto"/>
                <w:w w:val="95"/>
              </w:rPr>
              <w:t>Credit and Security Agreement, dated May 5, 2017, by and among PTC Therapeutics Inc., MidCap Financial Trust and the additional</w:t>
            </w: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gridSpan w:val="2"/>
          </w:tcPr>
          <w:p>
            <w:pPr>
              <w:ind w:left="240"/>
              <w:spacing w:after="0"/>
              <w:rPr>
                <w:sz w:val="20"/>
                <w:szCs w:val="20"/>
                <w:color w:val="auto"/>
              </w:rPr>
            </w:pPr>
            <w:r>
              <w:rPr>
                <w:rFonts w:ascii="Arial" w:cs="Arial" w:eastAsia="Arial" w:hAnsi="Arial"/>
                <w:sz w:val="18"/>
                <w:szCs w:val="18"/>
                <w:color w:val="auto"/>
              </w:rPr>
              <w:t>lenders thereto.</w:t>
            </w:r>
          </w:p>
        </w:tc>
      </w:tr>
      <w:tr>
        <w:trPr>
          <w:trHeight w:val="337"/>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2"/>
          </w:tcPr>
          <w:p>
            <w:pPr>
              <w:ind w:left="240"/>
              <w:spacing w:after="0"/>
              <w:rPr>
                <w:sz w:val="20"/>
                <w:szCs w:val="20"/>
                <w:color w:val="auto"/>
              </w:rPr>
            </w:pPr>
            <w:r>
              <w:rPr>
                <w:rFonts w:ascii="Arial" w:cs="Arial" w:eastAsia="Arial" w:hAnsi="Arial"/>
                <w:sz w:val="18"/>
                <w:szCs w:val="18"/>
                <w:color w:val="auto"/>
                <w:w w:val="89"/>
              </w:rPr>
              <w:t>Pledge Agreement, dated May 5, 2017, by and among PTC Therapeutics Inc., each of the subsidiaries listed thereto as pledgers and MidCap</w:t>
            </w: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40" w:type="dxa"/>
            <w:vAlign w:val="bottom"/>
            <w:gridSpan w:val="2"/>
          </w:tcPr>
          <w:p>
            <w:pPr>
              <w:ind w:left="240"/>
              <w:spacing w:after="0"/>
              <w:rPr>
                <w:sz w:val="20"/>
                <w:szCs w:val="20"/>
                <w:color w:val="auto"/>
              </w:rPr>
            </w:pPr>
            <w:r>
              <w:rPr>
                <w:rFonts w:ascii="Arial" w:cs="Arial" w:eastAsia="Arial" w:hAnsi="Arial"/>
                <w:sz w:val="18"/>
                <w:szCs w:val="18"/>
                <w:color w:val="auto"/>
              </w:rPr>
              <w:t>Financial Trust.</w:t>
            </w:r>
          </w:p>
        </w:tc>
      </w:tr>
      <w:tr>
        <w:trPr>
          <w:trHeight w:val="351"/>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40" w:type="dxa"/>
            <w:vAlign w:val="bottom"/>
            <w:gridSpan w:val="2"/>
          </w:tcPr>
          <w:p>
            <w:pPr>
              <w:ind w:left="240"/>
              <w:spacing w:after="0"/>
              <w:rPr>
                <w:sz w:val="20"/>
                <w:szCs w:val="20"/>
                <w:color w:val="auto"/>
              </w:rPr>
            </w:pPr>
            <w:r>
              <w:rPr>
                <w:rFonts w:ascii="Arial" w:cs="Arial" w:eastAsia="Arial" w:hAnsi="Arial"/>
                <w:sz w:val="18"/>
                <w:szCs w:val="18"/>
                <w:color w:val="auto"/>
                <w:w w:val="98"/>
              </w:rPr>
              <w:t>Intellectual Property Security Agreement, dated May 5, 2017, by and among PTC Therapeutics Inc. and MidCap Financial Trust.</w:t>
            </w:r>
          </w:p>
        </w:tc>
      </w:tr>
      <w:tr>
        <w:trPr>
          <w:trHeight w:val="351"/>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10900" w:type="dxa"/>
            <w:vAlign w:val="bottom"/>
            <w:gridSpan w:val="4"/>
          </w:tcPr>
          <w:p>
            <w:pPr>
              <w:ind w:left="180"/>
              <w:spacing w:after="0"/>
              <w:rPr>
                <w:sz w:val="20"/>
                <w:szCs w:val="20"/>
                <w:color w:val="auto"/>
              </w:rPr>
            </w:pPr>
            <w:r>
              <w:rPr>
                <w:rFonts w:ascii="Arial" w:cs="Arial" w:eastAsia="Arial" w:hAnsi="Arial"/>
                <w:sz w:val="18"/>
                <w:szCs w:val="18"/>
                <w:color w:val="auto"/>
              </w:rPr>
              <w:t>Press Release, dated May 8, 2017</w:t>
            </w:r>
          </w:p>
        </w:tc>
      </w:tr>
    </w:tbl>
    <w:p>
      <w:pPr>
        <w:sectPr>
          <w:pgSz w:w="11900" w:h="16838" w:orient="portrait"/>
          <w:cols w:equalWidth="0" w:num="1">
            <w:col w:w="11400"/>
          </w:cols>
          <w:pgMar w:left="240" w:top="715"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4940935</wp:posOffset>
            </wp:positionH>
            <wp:positionV relativeFrom="paragraph">
              <wp:posOffset>706120</wp:posOffset>
            </wp:positionV>
            <wp:extent cx="16338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338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CREDIT AND SECURITY AGREEMENT</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dated as of May 5, 2017</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PTC THERAPEUTICS, INC.,</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and any additional borrower that hereafter becomes party hereto, each as Borrower, and collectively as Borrowers,</w:t>
      </w:r>
    </w:p>
    <w:p>
      <w:pPr>
        <w:spacing w:after="0" w:line="262"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MIDCAP FINANCIAL TRUST,</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as Agent and as a Lender,</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860"/>
        <w:spacing w:after="0"/>
        <w:rPr>
          <w:sz w:val="20"/>
          <w:szCs w:val="20"/>
          <w:color w:val="auto"/>
        </w:rPr>
      </w:pPr>
      <w:r>
        <w:rPr>
          <w:rFonts w:ascii="Arial" w:cs="Arial" w:eastAsia="Arial" w:hAnsi="Arial"/>
          <w:sz w:val="20"/>
          <w:szCs w:val="20"/>
          <w:b w:val="1"/>
          <w:bCs w:val="1"/>
          <w:color w:val="auto"/>
        </w:rPr>
        <w:t>THE ADDITIONAL LENDERS</w:t>
      </w: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FROM TIME TO TIME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2083435</wp:posOffset>
            </wp:positionH>
            <wp:positionV relativeFrom="paragraph">
              <wp:posOffset>151765</wp:posOffset>
            </wp:positionV>
            <wp:extent cx="200660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6600" cy="56578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974725</wp:posOffset>
            </wp:positionV>
            <wp:extent cx="1508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0560"/>
          </w:cols>
          <w:pgMar w:left="1100" w:top="12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p>
        </w:tc>
        <w:tc>
          <w:tcPr>
            <w:tcW w:w="6120" w:type="dxa"/>
            <w:vAlign w:val="bottom"/>
          </w:tcPr>
          <w:p>
            <w:pPr>
              <w:ind w:left="2960"/>
              <w:spacing w:after="0"/>
              <w:rPr>
                <w:sz w:val="20"/>
                <w:szCs w:val="20"/>
                <w:color w:val="auto"/>
              </w:rPr>
            </w:pPr>
            <w:r>
              <w:rPr>
                <w:rFonts w:ascii="Arial" w:cs="Arial" w:eastAsia="Arial" w:hAnsi="Arial"/>
                <w:sz w:val="18"/>
                <w:szCs w:val="18"/>
                <w:color w:val="auto"/>
              </w:rPr>
              <w:t>TABLE OF CONTENTS</w:t>
            </w:r>
          </w:p>
        </w:tc>
      </w:tr>
      <w:tr>
        <w:trPr>
          <w:trHeight w:val="648"/>
        </w:trPr>
        <w:tc>
          <w:tcPr>
            <w:tcW w:w="7920" w:type="dxa"/>
            <w:vAlign w:val="bottom"/>
            <w:gridSpan w:val="2"/>
          </w:tcPr>
          <w:p>
            <w:pPr>
              <w:spacing w:after="0"/>
              <w:rPr>
                <w:sz w:val="20"/>
                <w:szCs w:val="20"/>
                <w:color w:val="auto"/>
              </w:rPr>
            </w:pPr>
            <w:r>
              <w:rPr>
                <w:rFonts w:ascii="Arial" w:cs="Arial" w:eastAsia="Arial" w:hAnsi="Arial"/>
                <w:sz w:val="18"/>
                <w:szCs w:val="18"/>
                <w:color w:val="auto"/>
              </w:rPr>
              <w:t>ARTICLE 1 - DEFINITIONS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w:t>
            </w:r>
          </w:p>
        </w:tc>
        <w:tc>
          <w:tcPr>
            <w:tcW w:w="6120" w:type="dxa"/>
            <w:vAlign w:val="bottom"/>
          </w:tcPr>
          <w:p>
            <w:pPr>
              <w:ind w:left="140"/>
              <w:spacing w:after="0"/>
              <w:rPr>
                <w:sz w:val="20"/>
                <w:szCs w:val="20"/>
                <w:color w:val="auto"/>
              </w:rPr>
            </w:pPr>
            <w:r>
              <w:rPr>
                <w:rFonts w:ascii="Arial" w:cs="Arial" w:eastAsia="Arial" w:hAnsi="Arial"/>
                <w:sz w:val="18"/>
                <w:szCs w:val="18"/>
                <w:color w:val="auto"/>
              </w:rPr>
              <w:t>Certain Defined Terms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w:t>
            </w:r>
          </w:p>
        </w:tc>
        <w:tc>
          <w:tcPr>
            <w:tcW w:w="6120" w:type="dxa"/>
            <w:vAlign w:val="bottom"/>
          </w:tcPr>
          <w:p>
            <w:pPr>
              <w:ind w:left="140"/>
              <w:spacing w:after="0"/>
              <w:rPr>
                <w:sz w:val="20"/>
                <w:szCs w:val="20"/>
                <w:color w:val="auto"/>
              </w:rPr>
            </w:pPr>
            <w:r>
              <w:rPr>
                <w:rFonts w:ascii="Arial" w:cs="Arial" w:eastAsia="Arial" w:hAnsi="Arial"/>
                <w:sz w:val="18"/>
                <w:szCs w:val="18"/>
                <w:color w:val="auto"/>
              </w:rPr>
              <w:t>Accounting Terms and Determinations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1.3</w:t>
            </w:r>
          </w:p>
        </w:tc>
        <w:tc>
          <w:tcPr>
            <w:tcW w:w="6120" w:type="dxa"/>
            <w:vAlign w:val="bottom"/>
          </w:tcPr>
          <w:p>
            <w:pPr>
              <w:ind w:left="140"/>
              <w:spacing w:after="0"/>
              <w:rPr>
                <w:sz w:val="20"/>
                <w:szCs w:val="20"/>
                <w:color w:val="auto"/>
              </w:rPr>
            </w:pPr>
            <w:r>
              <w:rPr>
                <w:rFonts w:ascii="Arial" w:cs="Arial" w:eastAsia="Arial" w:hAnsi="Arial"/>
                <w:sz w:val="18"/>
                <w:szCs w:val="18"/>
                <w:color w:val="auto"/>
              </w:rPr>
              <w:t>Other Definitional and Interpretive Provisions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1.4</w:t>
            </w:r>
          </w:p>
        </w:tc>
        <w:tc>
          <w:tcPr>
            <w:tcW w:w="6120" w:type="dxa"/>
            <w:vAlign w:val="bottom"/>
          </w:tcPr>
          <w:p>
            <w:pPr>
              <w:ind w:left="140"/>
              <w:spacing w:after="0"/>
              <w:rPr>
                <w:sz w:val="20"/>
                <w:szCs w:val="20"/>
                <w:color w:val="auto"/>
              </w:rPr>
            </w:pPr>
            <w:r>
              <w:rPr>
                <w:rFonts w:ascii="Arial" w:cs="Arial" w:eastAsia="Arial" w:hAnsi="Arial"/>
                <w:sz w:val="18"/>
                <w:szCs w:val="18"/>
                <w:color w:val="auto"/>
              </w:rPr>
              <w:t>Time is of the Essence</w:t>
            </w:r>
          </w:p>
        </w:tc>
      </w:tr>
      <w:tr>
        <w:trPr>
          <w:trHeight w:val="297"/>
        </w:trPr>
        <w:tc>
          <w:tcPr>
            <w:tcW w:w="1800" w:type="dxa"/>
            <w:vAlign w:val="bottom"/>
          </w:tcPr>
          <w:p>
            <w:pPr>
              <w:spacing w:after="0"/>
              <w:rPr>
                <w:sz w:val="20"/>
                <w:szCs w:val="20"/>
                <w:color w:val="auto"/>
              </w:rPr>
            </w:pPr>
            <w:r>
              <w:rPr>
                <w:rFonts w:ascii="Arial" w:cs="Arial" w:eastAsia="Arial" w:hAnsi="Arial"/>
                <w:sz w:val="18"/>
                <w:szCs w:val="18"/>
                <w:color w:val="auto"/>
              </w:rPr>
              <w:t>ARTICLE 2 - LOANS</w:t>
            </w:r>
          </w:p>
        </w:tc>
        <w:tc>
          <w:tcPr>
            <w:tcW w:w="6120" w:type="dxa"/>
            <w:vAlign w:val="bottom"/>
          </w:tcPr>
          <w:p>
            <w:pPr>
              <w:spacing w:after="0"/>
              <w:rPr>
                <w:sz w:val="24"/>
                <w:szCs w:val="24"/>
                <w:color w:val="auto"/>
              </w:rPr>
            </w:pP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2.1</w:t>
            </w:r>
          </w:p>
        </w:tc>
        <w:tc>
          <w:tcPr>
            <w:tcW w:w="6120" w:type="dxa"/>
            <w:vAlign w:val="bottom"/>
          </w:tcPr>
          <w:p>
            <w:pPr>
              <w:ind w:left="140"/>
              <w:spacing w:after="0"/>
              <w:rPr>
                <w:sz w:val="20"/>
                <w:szCs w:val="20"/>
                <w:color w:val="auto"/>
              </w:rPr>
            </w:pPr>
            <w:r>
              <w:rPr>
                <w:rFonts w:ascii="Arial" w:cs="Arial" w:eastAsia="Arial" w:hAnsi="Arial"/>
                <w:sz w:val="18"/>
                <w:szCs w:val="18"/>
                <w:color w:val="auto"/>
              </w:rPr>
              <w:t>Loans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2.2</w:t>
            </w:r>
          </w:p>
        </w:tc>
        <w:tc>
          <w:tcPr>
            <w:tcW w:w="6120" w:type="dxa"/>
            <w:vAlign w:val="bottom"/>
          </w:tcPr>
          <w:p>
            <w:pPr>
              <w:ind w:left="140"/>
              <w:spacing w:after="0"/>
              <w:rPr>
                <w:sz w:val="20"/>
                <w:szCs w:val="20"/>
                <w:color w:val="auto"/>
              </w:rPr>
            </w:pPr>
            <w:r>
              <w:rPr>
                <w:rFonts w:ascii="Arial" w:cs="Arial" w:eastAsia="Arial" w:hAnsi="Arial"/>
                <w:sz w:val="18"/>
                <w:szCs w:val="18"/>
                <w:color w:val="auto"/>
              </w:rPr>
              <w:t>Interest, Interest Calculations and Certain Fees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2.3</w:t>
            </w:r>
          </w:p>
        </w:tc>
        <w:tc>
          <w:tcPr>
            <w:tcW w:w="6120" w:type="dxa"/>
            <w:vAlign w:val="bottom"/>
          </w:tcPr>
          <w:p>
            <w:pPr>
              <w:ind w:left="140"/>
              <w:spacing w:after="0"/>
              <w:rPr>
                <w:sz w:val="20"/>
                <w:szCs w:val="20"/>
                <w:color w:val="auto"/>
              </w:rPr>
            </w:pPr>
            <w:r>
              <w:rPr>
                <w:rFonts w:ascii="Arial" w:cs="Arial" w:eastAsia="Arial" w:hAnsi="Arial"/>
                <w:sz w:val="18"/>
                <w:szCs w:val="18"/>
                <w:color w:val="auto"/>
              </w:rPr>
              <w:t>Notes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2.4</w:t>
            </w:r>
          </w:p>
        </w:tc>
        <w:tc>
          <w:tcPr>
            <w:tcW w:w="612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2.5</w:t>
            </w:r>
          </w:p>
        </w:tc>
        <w:tc>
          <w:tcPr>
            <w:tcW w:w="612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2.6</w:t>
            </w:r>
          </w:p>
        </w:tc>
        <w:tc>
          <w:tcPr>
            <w:tcW w:w="6120" w:type="dxa"/>
            <w:vAlign w:val="bottom"/>
          </w:tcPr>
          <w:p>
            <w:pPr>
              <w:ind w:left="140"/>
              <w:spacing w:after="0"/>
              <w:rPr>
                <w:sz w:val="20"/>
                <w:szCs w:val="20"/>
                <w:color w:val="auto"/>
              </w:rPr>
            </w:pPr>
            <w:r>
              <w:rPr>
                <w:rFonts w:ascii="Arial" w:cs="Arial" w:eastAsia="Arial" w:hAnsi="Arial"/>
                <w:sz w:val="18"/>
                <w:szCs w:val="18"/>
                <w:color w:val="auto"/>
              </w:rPr>
              <w:t>General Provisions Regarding Payment; Loan Account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2.7</w:t>
            </w:r>
          </w:p>
        </w:tc>
        <w:tc>
          <w:tcPr>
            <w:tcW w:w="6120" w:type="dxa"/>
            <w:vAlign w:val="bottom"/>
          </w:tcPr>
          <w:p>
            <w:pPr>
              <w:ind w:left="140"/>
              <w:spacing w:after="0"/>
              <w:rPr>
                <w:sz w:val="20"/>
                <w:szCs w:val="20"/>
                <w:color w:val="auto"/>
              </w:rPr>
            </w:pPr>
            <w:r>
              <w:rPr>
                <w:rFonts w:ascii="Arial" w:cs="Arial" w:eastAsia="Arial" w:hAnsi="Arial"/>
                <w:sz w:val="18"/>
                <w:szCs w:val="18"/>
                <w:color w:val="auto"/>
              </w:rPr>
              <w:t>Maximum Interest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2.8</w:t>
            </w:r>
          </w:p>
        </w:tc>
        <w:tc>
          <w:tcPr>
            <w:tcW w:w="6120" w:type="dxa"/>
            <w:vAlign w:val="bottom"/>
          </w:tcPr>
          <w:p>
            <w:pPr>
              <w:ind w:left="140"/>
              <w:spacing w:after="0"/>
              <w:rPr>
                <w:sz w:val="20"/>
                <w:szCs w:val="20"/>
                <w:color w:val="auto"/>
              </w:rPr>
            </w:pPr>
            <w:r>
              <w:rPr>
                <w:rFonts w:ascii="Arial" w:cs="Arial" w:eastAsia="Arial" w:hAnsi="Arial"/>
                <w:sz w:val="18"/>
                <w:szCs w:val="18"/>
                <w:color w:val="auto"/>
              </w:rPr>
              <w:t>Taxes; Capital Adequacy; Mitigation Obligations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2.9</w:t>
            </w:r>
          </w:p>
        </w:tc>
        <w:tc>
          <w:tcPr>
            <w:tcW w:w="6120" w:type="dxa"/>
            <w:vAlign w:val="bottom"/>
          </w:tcPr>
          <w:p>
            <w:pPr>
              <w:ind w:left="140"/>
              <w:spacing w:after="0"/>
              <w:rPr>
                <w:sz w:val="20"/>
                <w:szCs w:val="20"/>
                <w:color w:val="auto"/>
              </w:rPr>
            </w:pPr>
            <w:r>
              <w:rPr>
                <w:rFonts w:ascii="Arial" w:cs="Arial" w:eastAsia="Arial" w:hAnsi="Arial"/>
                <w:sz w:val="18"/>
                <w:szCs w:val="18"/>
                <w:color w:val="auto"/>
              </w:rPr>
              <w:t>Appointment of Borrower Representative.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2.10</w:t>
            </w:r>
          </w:p>
        </w:tc>
        <w:tc>
          <w:tcPr>
            <w:tcW w:w="6120" w:type="dxa"/>
            <w:vAlign w:val="bottom"/>
          </w:tcPr>
          <w:p>
            <w:pPr>
              <w:ind w:left="140"/>
              <w:spacing w:after="0"/>
              <w:rPr>
                <w:sz w:val="20"/>
                <w:szCs w:val="20"/>
                <w:color w:val="auto"/>
              </w:rPr>
            </w:pPr>
            <w:r>
              <w:rPr>
                <w:rFonts w:ascii="Arial" w:cs="Arial" w:eastAsia="Arial" w:hAnsi="Arial"/>
                <w:sz w:val="18"/>
                <w:szCs w:val="18"/>
                <w:color w:val="auto"/>
                <w:w w:val="92"/>
              </w:rPr>
              <w:t>Joint and Several Liability; Rights of Contribution; Subordination and Subrogation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2.11</w:t>
            </w:r>
          </w:p>
        </w:tc>
        <w:tc>
          <w:tcPr>
            <w:tcW w:w="612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2.12</w:t>
            </w:r>
          </w:p>
        </w:tc>
        <w:tc>
          <w:tcPr>
            <w:tcW w:w="6120" w:type="dxa"/>
            <w:vAlign w:val="bottom"/>
          </w:tcPr>
          <w:p>
            <w:pPr>
              <w:ind w:left="140"/>
              <w:spacing w:after="0"/>
              <w:rPr>
                <w:sz w:val="20"/>
                <w:szCs w:val="20"/>
                <w:color w:val="auto"/>
              </w:rPr>
            </w:pPr>
            <w:r>
              <w:rPr>
                <w:rFonts w:ascii="Arial" w:cs="Arial" w:eastAsia="Arial" w:hAnsi="Arial"/>
                <w:sz w:val="18"/>
                <w:szCs w:val="18"/>
                <w:color w:val="auto"/>
              </w:rPr>
              <w:t>Termination; Restriction on Termination</w:t>
            </w: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rPr>
              <w:t>ARTICLE 3 - REPRESENTATIONS AND WARRANTIES</w:t>
            </w:r>
          </w:p>
        </w:tc>
      </w:tr>
      <w:tr>
        <w:trPr>
          <w:trHeight w:val="324"/>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w:t>
            </w:r>
          </w:p>
        </w:tc>
        <w:tc>
          <w:tcPr>
            <w:tcW w:w="6120" w:type="dxa"/>
            <w:vAlign w:val="bottom"/>
          </w:tcPr>
          <w:p>
            <w:pPr>
              <w:ind w:left="140"/>
              <w:spacing w:after="0"/>
              <w:rPr>
                <w:sz w:val="20"/>
                <w:szCs w:val="20"/>
                <w:color w:val="auto"/>
              </w:rPr>
            </w:pPr>
            <w:r>
              <w:rPr>
                <w:rFonts w:ascii="Arial" w:cs="Arial" w:eastAsia="Arial" w:hAnsi="Arial"/>
                <w:sz w:val="18"/>
                <w:szCs w:val="18"/>
                <w:color w:val="auto"/>
              </w:rPr>
              <w:t>Existence and Power</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w:t>
            </w:r>
          </w:p>
        </w:tc>
        <w:tc>
          <w:tcPr>
            <w:tcW w:w="6120" w:type="dxa"/>
            <w:vAlign w:val="bottom"/>
          </w:tcPr>
          <w:p>
            <w:pPr>
              <w:ind w:left="140"/>
              <w:spacing w:after="0"/>
              <w:rPr>
                <w:sz w:val="20"/>
                <w:szCs w:val="20"/>
                <w:color w:val="auto"/>
              </w:rPr>
            </w:pPr>
            <w:r>
              <w:rPr>
                <w:rFonts w:ascii="Arial" w:cs="Arial" w:eastAsia="Arial" w:hAnsi="Arial"/>
                <w:sz w:val="18"/>
                <w:szCs w:val="18"/>
                <w:color w:val="auto"/>
              </w:rPr>
              <w:t>Organization and Governmental Authorization; No Contravention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3.3</w:t>
            </w:r>
          </w:p>
        </w:tc>
        <w:tc>
          <w:tcPr>
            <w:tcW w:w="6120" w:type="dxa"/>
            <w:vAlign w:val="bottom"/>
          </w:tcPr>
          <w:p>
            <w:pPr>
              <w:ind w:left="140"/>
              <w:spacing w:after="0"/>
              <w:rPr>
                <w:sz w:val="20"/>
                <w:szCs w:val="20"/>
                <w:color w:val="auto"/>
              </w:rPr>
            </w:pPr>
            <w:r>
              <w:rPr>
                <w:rFonts w:ascii="Arial" w:cs="Arial" w:eastAsia="Arial" w:hAnsi="Arial"/>
                <w:sz w:val="18"/>
                <w:szCs w:val="18"/>
                <w:color w:val="auto"/>
              </w:rPr>
              <w:t>Binding Effect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3.4</w:t>
            </w:r>
          </w:p>
        </w:tc>
        <w:tc>
          <w:tcPr>
            <w:tcW w:w="6120" w:type="dxa"/>
            <w:vAlign w:val="bottom"/>
          </w:tcPr>
          <w:p>
            <w:pPr>
              <w:ind w:left="140"/>
              <w:spacing w:after="0"/>
              <w:rPr>
                <w:sz w:val="20"/>
                <w:szCs w:val="20"/>
                <w:color w:val="auto"/>
              </w:rPr>
            </w:pPr>
            <w:r>
              <w:rPr>
                <w:rFonts w:ascii="Arial" w:cs="Arial" w:eastAsia="Arial" w:hAnsi="Arial"/>
                <w:sz w:val="18"/>
                <w:szCs w:val="18"/>
                <w:color w:val="auto"/>
              </w:rPr>
              <w:t>Capitalization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3.5</w:t>
            </w:r>
          </w:p>
        </w:tc>
        <w:tc>
          <w:tcPr>
            <w:tcW w:w="6120" w:type="dxa"/>
            <w:vAlign w:val="bottom"/>
          </w:tcPr>
          <w:p>
            <w:pPr>
              <w:ind w:left="140"/>
              <w:spacing w:after="0"/>
              <w:rPr>
                <w:sz w:val="20"/>
                <w:szCs w:val="20"/>
                <w:color w:val="auto"/>
              </w:rPr>
            </w:pPr>
            <w:r>
              <w:rPr>
                <w:rFonts w:ascii="Arial" w:cs="Arial" w:eastAsia="Arial" w:hAnsi="Arial"/>
                <w:sz w:val="18"/>
                <w:szCs w:val="18"/>
                <w:color w:val="auto"/>
              </w:rPr>
              <w:t>Financial Information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3.6</w:t>
            </w:r>
          </w:p>
        </w:tc>
        <w:tc>
          <w:tcPr>
            <w:tcW w:w="6120" w:type="dxa"/>
            <w:vAlign w:val="bottom"/>
          </w:tcPr>
          <w:p>
            <w:pPr>
              <w:ind w:left="140"/>
              <w:spacing w:after="0"/>
              <w:rPr>
                <w:sz w:val="20"/>
                <w:szCs w:val="20"/>
                <w:color w:val="auto"/>
              </w:rPr>
            </w:pPr>
            <w:r>
              <w:rPr>
                <w:rFonts w:ascii="Arial" w:cs="Arial" w:eastAsia="Arial" w:hAnsi="Arial"/>
                <w:sz w:val="18"/>
                <w:szCs w:val="18"/>
                <w:color w:val="auto"/>
              </w:rPr>
              <w:t>Litigation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3.7</w:t>
            </w:r>
          </w:p>
        </w:tc>
        <w:tc>
          <w:tcPr>
            <w:tcW w:w="6120" w:type="dxa"/>
            <w:vAlign w:val="bottom"/>
          </w:tcPr>
          <w:p>
            <w:pPr>
              <w:ind w:left="140"/>
              <w:spacing w:after="0"/>
              <w:rPr>
                <w:sz w:val="20"/>
                <w:szCs w:val="20"/>
                <w:color w:val="auto"/>
              </w:rPr>
            </w:pPr>
            <w:r>
              <w:rPr>
                <w:rFonts w:ascii="Arial" w:cs="Arial" w:eastAsia="Arial" w:hAnsi="Arial"/>
                <w:sz w:val="18"/>
                <w:szCs w:val="18"/>
                <w:color w:val="auto"/>
              </w:rPr>
              <w:t>Ownership of Property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3.8</w:t>
            </w:r>
          </w:p>
        </w:tc>
        <w:tc>
          <w:tcPr>
            <w:tcW w:w="6120" w:type="dxa"/>
            <w:vAlign w:val="bottom"/>
          </w:tcPr>
          <w:p>
            <w:pPr>
              <w:ind w:left="140"/>
              <w:spacing w:after="0"/>
              <w:rPr>
                <w:sz w:val="20"/>
                <w:szCs w:val="20"/>
                <w:color w:val="auto"/>
              </w:rPr>
            </w:pPr>
            <w:r>
              <w:rPr>
                <w:rFonts w:ascii="Arial" w:cs="Arial" w:eastAsia="Arial" w:hAnsi="Arial"/>
                <w:sz w:val="18"/>
                <w:szCs w:val="18"/>
                <w:color w:val="auto"/>
              </w:rPr>
              <w:t>No Default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3.9</w:t>
            </w:r>
          </w:p>
        </w:tc>
        <w:tc>
          <w:tcPr>
            <w:tcW w:w="6120" w:type="dxa"/>
            <w:vAlign w:val="bottom"/>
          </w:tcPr>
          <w:p>
            <w:pPr>
              <w:ind w:left="140"/>
              <w:spacing w:after="0"/>
              <w:rPr>
                <w:sz w:val="20"/>
                <w:szCs w:val="20"/>
                <w:color w:val="auto"/>
              </w:rPr>
            </w:pPr>
            <w:r>
              <w:rPr>
                <w:rFonts w:ascii="Arial" w:cs="Arial" w:eastAsia="Arial" w:hAnsi="Arial"/>
                <w:sz w:val="18"/>
                <w:szCs w:val="18"/>
                <w:color w:val="auto"/>
              </w:rPr>
              <w:t>Labor Matters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3.10</w:t>
            </w:r>
          </w:p>
        </w:tc>
        <w:tc>
          <w:tcPr>
            <w:tcW w:w="6120" w:type="dxa"/>
            <w:vAlign w:val="bottom"/>
          </w:tcPr>
          <w:p>
            <w:pPr>
              <w:ind w:left="140"/>
              <w:spacing w:after="0"/>
              <w:rPr>
                <w:sz w:val="20"/>
                <w:szCs w:val="20"/>
                <w:color w:val="auto"/>
              </w:rPr>
            </w:pPr>
            <w:r>
              <w:rPr>
                <w:rFonts w:ascii="Arial" w:cs="Arial" w:eastAsia="Arial" w:hAnsi="Arial"/>
                <w:sz w:val="18"/>
                <w:szCs w:val="18"/>
                <w:color w:val="auto"/>
              </w:rPr>
              <w:t>Regulated Entities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3.11</w:t>
            </w:r>
          </w:p>
        </w:tc>
        <w:tc>
          <w:tcPr>
            <w:tcW w:w="6120" w:type="dxa"/>
            <w:vAlign w:val="bottom"/>
          </w:tcPr>
          <w:p>
            <w:pPr>
              <w:ind w:left="140"/>
              <w:spacing w:after="0"/>
              <w:rPr>
                <w:sz w:val="20"/>
                <w:szCs w:val="20"/>
                <w:color w:val="auto"/>
              </w:rPr>
            </w:pPr>
            <w:r>
              <w:rPr>
                <w:rFonts w:ascii="Arial" w:cs="Arial" w:eastAsia="Arial" w:hAnsi="Arial"/>
                <w:sz w:val="18"/>
                <w:szCs w:val="18"/>
                <w:color w:val="auto"/>
              </w:rPr>
              <w:t>Margin Regulations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3.12</w:t>
            </w:r>
          </w:p>
        </w:tc>
        <w:tc>
          <w:tcPr>
            <w:tcW w:w="6120" w:type="dxa"/>
            <w:vAlign w:val="bottom"/>
          </w:tcPr>
          <w:p>
            <w:pPr>
              <w:ind w:left="140"/>
              <w:spacing w:after="0"/>
              <w:rPr>
                <w:sz w:val="20"/>
                <w:szCs w:val="20"/>
                <w:color w:val="auto"/>
              </w:rPr>
            </w:pPr>
            <w:r>
              <w:rPr>
                <w:rFonts w:ascii="Arial" w:cs="Arial" w:eastAsia="Arial" w:hAnsi="Arial"/>
                <w:sz w:val="18"/>
                <w:szCs w:val="18"/>
                <w:color w:val="auto"/>
              </w:rPr>
              <w:t>Compliance With Laws; Anti-Terrorism Laws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3.13</w:t>
            </w:r>
          </w:p>
        </w:tc>
        <w:tc>
          <w:tcPr>
            <w:tcW w:w="6120" w:type="dxa"/>
            <w:vAlign w:val="bottom"/>
          </w:tcPr>
          <w:p>
            <w:pPr>
              <w:ind w:left="140"/>
              <w:spacing w:after="0"/>
              <w:rPr>
                <w:sz w:val="20"/>
                <w:szCs w:val="20"/>
                <w:color w:val="auto"/>
              </w:rPr>
            </w:pPr>
            <w:r>
              <w:rPr>
                <w:rFonts w:ascii="Arial" w:cs="Arial" w:eastAsia="Arial" w:hAnsi="Arial"/>
                <w:sz w:val="18"/>
                <w:szCs w:val="18"/>
                <w:color w:val="auto"/>
              </w:rPr>
              <w:t>Taxes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3.14</w:t>
            </w:r>
          </w:p>
        </w:tc>
        <w:tc>
          <w:tcPr>
            <w:tcW w:w="6120" w:type="dxa"/>
            <w:vAlign w:val="bottom"/>
          </w:tcPr>
          <w:p>
            <w:pPr>
              <w:ind w:left="140"/>
              <w:spacing w:after="0"/>
              <w:rPr>
                <w:sz w:val="20"/>
                <w:szCs w:val="20"/>
                <w:color w:val="auto"/>
              </w:rPr>
            </w:pPr>
            <w:r>
              <w:rPr>
                <w:rFonts w:ascii="Arial" w:cs="Arial" w:eastAsia="Arial" w:hAnsi="Arial"/>
                <w:sz w:val="18"/>
                <w:szCs w:val="18"/>
                <w:color w:val="auto"/>
              </w:rPr>
              <w:t>Compliance with ERISA</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3.15</w:t>
            </w:r>
          </w:p>
        </w:tc>
        <w:tc>
          <w:tcPr>
            <w:tcW w:w="6120" w:type="dxa"/>
            <w:vAlign w:val="bottom"/>
          </w:tcPr>
          <w:p>
            <w:pPr>
              <w:ind w:left="140"/>
              <w:spacing w:after="0"/>
              <w:rPr>
                <w:sz w:val="20"/>
                <w:szCs w:val="20"/>
                <w:color w:val="auto"/>
              </w:rPr>
            </w:pPr>
            <w:r>
              <w:rPr>
                <w:rFonts w:ascii="Arial" w:cs="Arial" w:eastAsia="Arial" w:hAnsi="Arial"/>
                <w:sz w:val="18"/>
                <w:szCs w:val="18"/>
                <w:color w:val="auto"/>
              </w:rPr>
              <w:t>Consummation of Operative Documents; Broker</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3.16</w:t>
            </w:r>
          </w:p>
        </w:tc>
        <w:tc>
          <w:tcPr>
            <w:tcW w:w="6120" w:type="dxa"/>
            <w:vAlign w:val="bottom"/>
          </w:tcPr>
          <w:p>
            <w:pPr>
              <w:ind w:left="140"/>
              <w:spacing w:after="0"/>
              <w:rPr>
                <w:sz w:val="20"/>
                <w:szCs w:val="20"/>
                <w:color w:val="auto"/>
              </w:rPr>
            </w:pPr>
            <w:r>
              <w:rPr>
                <w:rFonts w:ascii="Arial" w:cs="Arial" w:eastAsia="Arial" w:hAnsi="Arial"/>
                <w:sz w:val="18"/>
                <w:szCs w:val="18"/>
                <w:color w:val="auto"/>
              </w:rPr>
              <w:t>Related Transactions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3.17</w:t>
            </w:r>
          </w:p>
        </w:tc>
        <w:tc>
          <w:tcPr>
            <w:tcW w:w="6120" w:type="dxa"/>
            <w:vAlign w:val="bottom"/>
          </w:tcPr>
          <w:p>
            <w:pPr>
              <w:ind w:left="140"/>
              <w:spacing w:after="0"/>
              <w:rPr>
                <w:sz w:val="20"/>
                <w:szCs w:val="20"/>
                <w:color w:val="auto"/>
              </w:rPr>
            </w:pPr>
            <w:r>
              <w:rPr>
                <w:rFonts w:ascii="Arial" w:cs="Arial" w:eastAsia="Arial" w:hAnsi="Arial"/>
                <w:sz w:val="18"/>
                <w:szCs w:val="18"/>
                <w:color w:val="auto"/>
              </w:rPr>
              <w:t>Material Contracts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3.18</w:t>
            </w:r>
          </w:p>
        </w:tc>
        <w:tc>
          <w:tcPr>
            <w:tcW w:w="6120" w:type="dxa"/>
            <w:vAlign w:val="bottom"/>
          </w:tcPr>
          <w:p>
            <w:pPr>
              <w:ind w:left="140"/>
              <w:spacing w:after="0"/>
              <w:rPr>
                <w:sz w:val="20"/>
                <w:szCs w:val="20"/>
                <w:color w:val="auto"/>
              </w:rPr>
            </w:pPr>
            <w:r>
              <w:rPr>
                <w:rFonts w:ascii="Arial" w:cs="Arial" w:eastAsia="Arial" w:hAnsi="Arial"/>
                <w:sz w:val="18"/>
                <w:szCs w:val="18"/>
                <w:color w:val="auto"/>
              </w:rPr>
              <w:t>Compliance with Environmental Requirements; No Hazardous Materials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3.19</w:t>
            </w:r>
          </w:p>
        </w:tc>
        <w:tc>
          <w:tcPr>
            <w:tcW w:w="6120" w:type="dxa"/>
            <w:vAlign w:val="bottom"/>
          </w:tcPr>
          <w:p>
            <w:pPr>
              <w:ind w:left="140"/>
              <w:spacing w:after="0"/>
              <w:rPr>
                <w:sz w:val="20"/>
                <w:szCs w:val="20"/>
                <w:color w:val="auto"/>
              </w:rPr>
            </w:pPr>
            <w:r>
              <w:rPr>
                <w:rFonts w:ascii="Arial" w:cs="Arial" w:eastAsia="Arial" w:hAnsi="Arial"/>
                <w:sz w:val="18"/>
                <w:szCs w:val="18"/>
                <w:color w:val="auto"/>
              </w:rPr>
              <w:t>Intellectual Property and License Agreements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3.20</w:t>
            </w:r>
          </w:p>
        </w:tc>
        <w:tc>
          <w:tcPr>
            <w:tcW w:w="6120" w:type="dxa"/>
            <w:vAlign w:val="bottom"/>
          </w:tcPr>
          <w:p>
            <w:pPr>
              <w:ind w:left="140"/>
              <w:spacing w:after="0"/>
              <w:rPr>
                <w:sz w:val="20"/>
                <w:szCs w:val="20"/>
                <w:color w:val="auto"/>
              </w:rPr>
            </w:pPr>
            <w:r>
              <w:rPr>
                <w:rFonts w:ascii="Arial" w:cs="Arial" w:eastAsia="Arial" w:hAnsi="Arial"/>
                <w:sz w:val="18"/>
                <w:szCs w:val="18"/>
                <w:color w:val="auto"/>
              </w:rPr>
              <w:t>Solvency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3.21</w:t>
            </w:r>
          </w:p>
        </w:tc>
        <w:tc>
          <w:tcPr>
            <w:tcW w:w="6120" w:type="dxa"/>
            <w:vAlign w:val="bottom"/>
          </w:tcPr>
          <w:p>
            <w:pPr>
              <w:ind w:left="140"/>
              <w:spacing w:after="0"/>
              <w:rPr>
                <w:sz w:val="20"/>
                <w:szCs w:val="20"/>
                <w:color w:val="auto"/>
              </w:rPr>
            </w:pPr>
            <w:r>
              <w:rPr>
                <w:rFonts w:ascii="Arial" w:cs="Arial" w:eastAsia="Arial" w:hAnsi="Arial"/>
                <w:sz w:val="18"/>
                <w:szCs w:val="18"/>
                <w:color w:val="auto"/>
              </w:rPr>
              <w:t>Full Disclosure</w:t>
            </w:r>
          </w:p>
        </w:tc>
      </w:tr>
    </w:tbl>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23" w:lineRule="exact"/>
        <w:rPr>
          <w:sz w:val="20"/>
          <w:szCs w:val="20"/>
          <w:color w:val="auto"/>
        </w:rPr>
      </w:pPr>
    </w:p>
    <w:p>
      <w:pPr>
        <w:sectPr>
          <w:pgSz w:w="11900" w:h="16838" w:orient="portrait"/>
          <w:cols w:equalWidth="0" w:num="2">
            <w:col w:w="9900" w:space="720"/>
            <w:col w:w="660"/>
          </w:cols>
          <w:pgMar w:left="280" w:top="625" w:right="339" w:bottom="1440" w:gutter="0" w:footer="0" w:header="0"/>
        </w:sectPr>
      </w:pP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80"/>
          </w:cols>
          <w:pgMar w:left="280" w:top="6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3.22</w:t>
            </w:r>
          </w:p>
        </w:tc>
        <w:tc>
          <w:tcPr>
            <w:tcW w:w="5500" w:type="dxa"/>
            <w:vAlign w:val="bottom"/>
          </w:tcPr>
          <w:p>
            <w:pPr>
              <w:ind w:left="140"/>
              <w:spacing w:after="0"/>
              <w:rPr>
                <w:sz w:val="20"/>
                <w:szCs w:val="20"/>
                <w:color w:val="auto"/>
              </w:rPr>
            </w:pPr>
            <w:r>
              <w:rPr>
                <w:rFonts w:ascii="Arial" w:cs="Arial" w:eastAsia="Arial" w:hAnsi="Arial"/>
                <w:sz w:val="18"/>
                <w:szCs w:val="18"/>
                <w:color w:val="auto"/>
              </w:rPr>
              <w:t>Interest Rate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3.23</w:t>
            </w:r>
          </w:p>
        </w:tc>
        <w:tc>
          <w:tcPr>
            <w:tcW w:w="5500" w:type="dxa"/>
            <w:vAlign w:val="bottom"/>
          </w:tcPr>
          <w:p>
            <w:pPr>
              <w:ind w:left="140"/>
              <w:spacing w:after="0"/>
              <w:rPr>
                <w:sz w:val="20"/>
                <w:szCs w:val="20"/>
                <w:color w:val="auto"/>
              </w:rPr>
            </w:pPr>
            <w:r>
              <w:rPr>
                <w:rFonts w:ascii="Arial" w:cs="Arial" w:eastAsia="Arial" w:hAnsi="Arial"/>
                <w:sz w:val="18"/>
                <w:szCs w:val="18"/>
                <w:color w:val="auto"/>
              </w:rPr>
              <w:t>Subsidiaries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3.24</w:t>
            </w:r>
          </w:p>
        </w:tc>
        <w:tc>
          <w:tcPr>
            <w:tcW w:w="5500" w:type="dxa"/>
            <w:vAlign w:val="bottom"/>
          </w:tcPr>
          <w:p>
            <w:pPr>
              <w:ind w:left="140"/>
              <w:spacing w:after="0"/>
              <w:rPr>
                <w:sz w:val="20"/>
                <w:szCs w:val="20"/>
                <w:color w:val="auto"/>
              </w:rPr>
            </w:pPr>
            <w:r>
              <w:rPr>
                <w:rFonts w:ascii="Arial" w:cs="Arial" w:eastAsia="Arial" w:hAnsi="Arial"/>
                <w:sz w:val="18"/>
                <w:szCs w:val="18"/>
                <w:color w:val="auto"/>
              </w:rPr>
              <w:t>Regulatory Matters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3.25</w:t>
            </w:r>
          </w:p>
        </w:tc>
        <w:tc>
          <w:tcPr>
            <w:tcW w:w="5500" w:type="dxa"/>
            <w:vAlign w:val="bottom"/>
          </w:tcPr>
          <w:p>
            <w:pPr>
              <w:ind w:left="140"/>
              <w:spacing w:after="0"/>
              <w:rPr>
                <w:sz w:val="20"/>
                <w:szCs w:val="20"/>
                <w:color w:val="auto"/>
              </w:rPr>
            </w:pPr>
            <w:r>
              <w:rPr>
                <w:rFonts w:ascii="Arial" w:cs="Arial" w:eastAsia="Arial" w:hAnsi="Arial"/>
                <w:sz w:val="18"/>
                <w:szCs w:val="18"/>
                <w:color w:val="auto"/>
              </w:rPr>
              <w:t>Accuracy of Schedules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3.26</w:t>
            </w:r>
          </w:p>
        </w:tc>
        <w:tc>
          <w:tcPr>
            <w:tcW w:w="5500" w:type="dxa"/>
            <w:vAlign w:val="bottom"/>
          </w:tcPr>
          <w:p>
            <w:pPr>
              <w:ind w:left="140"/>
              <w:spacing w:after="0"/>
              <w:rPr>
                <w:sz w:val="20"/>
                <w:szCs w:val="20"/>
                <w:color w:val="auto"/>
              </w:rPr>
            </w:pPr>
            <w:r>
              <w:rPr>
                <w:rFonts w:ascii="Arial" w:cs="Arial" w:eastAsia="Arial" w:hAnsi="Arial"/>
                <w:sz w:val="18"/>
                <w:szCs w:val="18"/>
                <w:color w:val="auto"/>
              </w:rPr>
              <w:t>Purchase Agreement.</w:t>
            </w:r>
          </w:p>
        </w:tc>
      </w:tr>
      <w:tr>
        <w:trPr>
          <w:trHeight w:val="270"/>
        </w:trPr>
        <w:tc>
          <w:tcPr>
            <w:tcW w:w="7300" w:type="dxa"/>
            <w:vAlign w:val="bottom"/>
            <w:gridSpan w:val="2"/>
          </w:tcPr>
          <w:p>
            <w:pPr>
              <w:spacing w:after="0"/>
              <w:rPr>
                <w:sz w:val="20"/>
                <w:szCs w:val="20"/>
                <w:color w:val="auto"/>
              </w:rPr>
            </w:pPr>
            <w:r>
              <w:rPr>
                <w:rFonts w:ascii="Arial" w:cs="Arial" w:eastAsia="Arial" w:hAnsi="Arial"/>
                <w:sz w:val="18"/>
                <w:szCs w:val="18"/>
                <w:color w:val="auto"/>
              </w:rPr>
              <w:t>ARTICLE 4 - AFFIRMATIVE COVENANTS</w:t>
            </w:r>
          </w:p>
        </w:tc>
      </w:tr>
      <w:tr>
        <w:trPr>
          <w:trHeight w:val="297"/>
        </w:trPr>
        <w:tc>
          <w:tcPr>
            <w:tcW w:w="7300" w:type="dxa"/>
            <w:vAlign w:val="bottom"/>
            <w:gridSpan w:val="2"/>
          </w:tcPr>
          <w:p>
            <w:pPr>
              <w:spacing w:after="0"/>
              <w:rPr>
                <w:sz w:val="20"/>
                <w:szCs w:val="20"/>
                <w:color w:val="auto"/>
              </w:rPr>
            </w:pPr>
            <w:r>
              <w:rPr>
                <w:rFonts w:ascii="Arial" w:cs="Arial" w:eastAsia="Arial" w:hAnsi="Arial"/>
                <w:sz w:val="18"/>
                <w:szCs w:val="18"/>
                <w:color w:val="auto"/>
              </w:rPr>
              <w:t>Each Borrower agrees that, so long as any Credit Exposure exists:</w:t>
            </w:r>
          </w:p>
        </w:tc>
      </w:tr>
      <w:tr>
        <w:trPr>
          <w:trHeight w:val="324"/>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w:t>
            </w:r>
          </w:p>
        </w:tc>
        <w:tc>
          <w:tcPr>
            <w:tcW w:w="5500" w:type="dxa"/>
            <w:vAlign w:val="bottom"/>
          </w:tcPr>
          <w:p>
            <w:pPr>
              <w:ind w:left="140"/>
              <w:spacing w:after="0"/>
              <w:rPr>
                <w:sz w:val="20"/>
                <w:szCs w:val="20"/>
                <w:color w:val="auto"/>
              </w:rPr>
            </w:pPr>
            <w:r>
              <w:rPr>
                <w:rFonts w:ascii="Arial" w:cs="Arial" w:eastAsia="Arial" w:hAnsi="Arial"/>
                <w:sz w:val="18"/>
                <w:szCs w:val="18"/>
                <w:color w:val="auto"/>
              </w:rPr>
              <w:t>Financial Statements and Other Reports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4.2</w:t>
            </w:r>
          </w:p>
        </w:tc>
        <w:tc>
          <w:tcPr>
            <w:tcW w:w="5500" w:type="dxa"/>
            <w:vAlign w:val="bottom"/>
          </w:tcPr>
          <w:p>
            <w:pPr>
              <w:ind w:left="140"/>
              <w:spacing w:after="0"/>
              <w:rPr>
                <w:sz w:val="20"/>
                <w:szCs w:val="20"/>
                <w:color w:val="auto"/>
              </w:rPr>
            </w:pPr>
            <w:r>
              <w:rPr>
                <w:rFonts w:ascii="Arial" w:cs="Arial" w:eastAsia="Arial" w:hAnsi="Arial"/>
                <w:sz w:val="18"/>
                <w:szCs w:val="18"/>
                <w:color w:val="auto"/>
              </w:rPr>
              <w:t>Payment and Performance of Obligations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4.3</w:t>
            </w:r>
          </w:p>
        </w:tc>
        <w:tc>
          <w:tcPr>
            <w:tcW w:w="5500" w:type="dxa"/>
            <w:vAlign w:val="bottom"/>
          </w:tcPr>
          <w:p>
            <w:pPr>
              <w:ind w:left="140"/>
              <w:spacing w:after="0"/>
              <w:rPr>
                <w:sz w:val="20"/>
                <w:szCs w:val="20"/>
                <w:color w:val="auto"/>
              </w:rPr>
            </w:pPr>
            <w:r>
              <w:rPr>
                <w:rFonts w:ascii="Arial" w:cs="Arial" w:eastAsia="Arial" w:hAnsi="Arial"/>
                <w:sz w:val="18"/>
                <w:szCs w:val="18"/>
                <w:color w:val="auto"/>
              </w:rPr>
              <w:t>Maintenance of Existence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4.4</w:t>
            </w:r>
          </w:p>
        </w:tc>
        <w:tc>
          <w:tcPr>
            <w:tcW w:w="5500" w:type="dxa"/>
            <w:vAlign w:val="bottom"/>
          </w:tcPr>
          <w:p>
            <w:pPr>
              <w:ind w:left="140"/>
              <w:spacing w:after="0"/>
              <w:rPr>
                <w:sz w:val="20"/>
                <w:szCs w:val="20"/>
                <w:color w:val="auto"/>
              </w:rPr>
            </w:pPr>
            <w:r>
              <w:rPr>
                <w:rFonts w:ascii="Arial" w:cs="Arial" w:eastAsia="Arial" w:hAnsi="Arial"/>
                <w:sz w:val="18"/>
                <w:szCs w:val="18"/>
                <w:color w:val="auto"/>
              </w:rPr>
              <w:t>Maintenance of Property; Insurance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4.5</w:t>
            </w:r>
          </w:p>
        </w:tc>
        <w:tc>
          <w:tcPr>
            <w:tcW w:w="5500" w:type="dxa"/>
            <w:vAlign w:val="bottom"/>
          </w:tcPr>
          <w:p>
            <w:pPr>
              <w:ind w:left="140"/>
              <w:spacing w:after="0"/>
              <w:rPr>
                <w:sz w:val="20"/>
                <w:szCs w:val="20"/>
                <w:color w:val="auto"/>
              </w:rPr>
            </w:pPr>
            <w:r>
              <w:rPr>
                <w:rFonts w:ascii="Arial" w:cs="Arial" w:eastAsia="Arial" w:hAnsi="Arial"/>
                <w:sz w:val="18"/>
                <w:szCs w:val="18"/>
                <w:color w:val="auto"/>
              </w:rPr>
              <w:t>Compliance with Laws and Material Contracts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4.6</w:t>
            </w:r>
          </w:p>
        </w:tc>
        <w:tc>
          <w:tcPr>
            <w:tcW w:w="5500" w:type="dxa"/>
            <w:vAlign w:val="bottom"/>
          </w:tcPr>
          <w:p>
            <w:pPr>
              <w:ind w:left="140"/>
              <w:spacing w:after="0"/>
              <w:rPr>
                <w:sz w:val="20"/>
                <w:szCs w:val="20"/>
                <w:color w:val="auto"/>
              </w:rPr>
            </w:pPr>
            <w:r>
              <w:rPr>
                <w:rFonts w:ascii="Arial" w:cs="Arial" w:eastAsia="Arial" w:hAnsi="Arial"/>
                <w:sz w:val="18"/>
                <w:szCs w:val="18"/>
                <w:color w:val="auto"/>
              </w:rPr>
              <w:t>Inspection of Property, Books and Records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4.7</w:t>
            </w:r>
          </w:p>
        </w:tc>
        <w:tc>
          <w:tcPr>
            <w:tcW w:w="5500" w:type="dxa"/>
            <w:vAlign w:val="bottom"/>
          </w:tcPr>
          <w:p>
            <w:pPr>
              <w:ind w:left="140"/>
              <w:spacing w:after="0"/>
              <w:rPr>
                <w:sz w:val="20"/>
                <w:szCs w:val="20"/>
                <w:color w:val="auto"/>
              </w:rPr>
            </w:pPr>
            <w:r>
              <w:rPr>
                <w:rFonts w:ascii="Arial" w:cs="Arial" w:eastAsia="Arial" w:hAnsi="Arial"/>
                <w:sz w:val="18"/>
                <w:szCs w:val="18"/>
                <w:color w:val="auto"/>
              </w:rPr>
              <w:t>Use of Proceeds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4.8</w:t>
            </w:r>
          </w:p>
        </w:tc>
        <w:tc>
          <w:tcPr>
            <w:tcW w:w="550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4.9</w:t>
            </w:r>
          </w:p>
        </w:tc>
        <w:tc>
          <w:tcPr>
            <w:tcW w:w="5500" w:type="dxa"/>
            <w:vAlign w:val="bottom"/>
          </w:tcPr>
          <w:p>
            <w:pPr>
              <w:ind w:left="140"/>
              <w:spacing w:after="0"/>
              <w:rPr>
                <w:sz w:val="20"/>
                <w:szCs w:val="20"/>
                <w:color w:val="auto"/>
              </w:rPr>
            </w:pPr>
            <w:r>
              <w:rPr>
                <w:rFonts w:ascii="Arial" w:cs="Arial" w:eastAsia="Arial" w:hAnsi="Arial"/>
                <w:sz w:val="18"/>
                <w:szCs w:val="18"/>
                <w:color w:val="auto"/>
              </w:rPr>
              <w:t>Notices of Material Contracts, Litigation and Defaults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4.10</w:t>
            </w:r>
          </w:p>
        </w:tc>
        <w:tc>
          <w:tcPr>
            <w:tcW w:w="5500" w:type="dxa"/>
            <w:vAlign w:val="bottom"/>
          </w:tcPr>
          <w:p>
            <w:pPr>
              <w:ind w:left="140"/>
              <w:spacing w:after="0"/>
              <w:rPr>
                <w:sz w:val="20"/>
                <w:szCs w:val="20"/>
                <w:color w:val="auto"/>
              </w:rPr>
            </w:pPr>
            <w:r>
              <w:rPr>
                <w:rFonts w:ascii="Arial" w:cs="Arial" w:eastAsia="Arial" w:hAnsi="Arial"/>
                <w:sz w:val="18"/>
                <w:szCs w:val="18"/>
                <w:color w:val="auto"/>
              </w:rPr>
              <w:t>Hazardous Materials; Remediation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4.11</w:t>
            </w:r>
          </w:p>
        </w:tc>
        <w:tc>
          <w:tcPr>
            <w:tcW w:w="5500" w:type="dxa"/>
            <w:vAlign w:val="bottom"/>
          </w:tcPr>
          <w:p>
            <w:pPr>
              <w:ind w:left="140"/>
              <w:spacing w:after="0"/>
              <w:rPr>
                <w:sz w:val="20"/>
                <w:szCs w:val="20"/>
                <w:color w:val="auto"/>
              </w:rPr>
            </w:pPr>
            <w:r>
              <w:rPr>
                <w:rFonts w:ascii="Arial" w:cs="Arial" w:eastAsia="Arial" w:hAnsi="Arial"/>
                <w:sz w:val="18"/>
                <w:szCs w:val="18"/>
                <w:color w:val="auto"/>
              </w:rPr>
              <w:t>Further Assurance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4.12</w:t>
            </w:r>
          </w:p>
        </w:tc>
        <w:tc>
          <w:tcPr>
            <w:tcW w:w="550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4.13</w:t>
            </w:r>
          </w:p>
        </w:tc>
        <w:tc>
          <w:tcPr>
            <w:tcW w:w="5500" w:type="dxa"/>
            <w:vAlign w:val="bottom"/>
          </w:tcPr>
          <w:p>
            <w:pPr>
              <w:ind w:left="140"/>
              <w:spacing w:after="0"/>
              <w:rPr>
                <w:sz w:val="20"/>
                <w:szCs w:val="20"/>
                <w:color w:val="auto"/>
              </w:rPr>
            </w:pPr>
            <w:r>
              <w:rPr>
                <w:rFonts w:ascii="Arial" w:cs="Arial" w:eastAsia="Arial" w:hAnsi="Arial"/>
                <w:sz w:val="18"/>
                <w:szCs w:val="18"/>
                <w:color w:val="auto"/>
              </w:rPr>
              <w:t>Power of Attorney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4.14</w:t>
            </w:r>
          </w:p>
        </w:tc>
        <w:tc>
          <w:tcPr>
            <w:tcW w:w="550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4.15</w:t>
            </w:r>
          </w:p>
        </w:tc>
        <w:tc>
          <w:tcPr>
            <w:tcW w:w="5500" w:type="dxa"/>
            <w:vAlign w:val="bottom"/>
          </w:tcPr>
          <w:p>
            <w:pPr>
              <w:ind w:left="140"/>
              <w:spacing w:after="0"/>
              <w:rPr>
                <w:sz w:val="20"/>
                <w:szCs w:val="20"/>
                <w:color w:val="auto"/>
              </w:rPr>
            </w:pPr>
            <w:r>
              <w:rPr>
                <w:rFonts w:ascii="Arial" w:cs="Arial" w:eastAsia="Arial" w:hAnsi="Arial"/>
                <w:sz w:val="18"/>
                <w:szCs w:val="18"/>
                <w:color w:val="auto"/>
              </w:rPr>
              <w:t>Schedule Update</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4.16</w:t>
            </w:r>
          </w:p>
        </w:tc>
        <w:tc>
          <w:tcPr>
            <w:tcW w:w="5500" w:type="dxa"/>
            <w:vAlign w:val="bottom"/>
          </w:tcPr>
          <w:p>
            <w:pPr>
              <w:ind w:left="140"/>
              <w:spacing w:after="0"/>
              <w:rPr>
                <w:sz w:val="20"/>
                <w:szCs w:val="20"/>
                <w:color w:val="auto"/>
              </w:rPr>
            </w:pPr>
            <w:r>
              <w:rPr>
                <w:rFonts w:ascii="Arial" w:cs="Arial" w:eastAsia="Arial" w:hAnsi="Arial"/>
                <w:sz w:val="18"/>
                <w:szCs w:val="18"/>
                <w:color w:val="auto"/>
              </w:rPr>
              <w:t>Intellectual Property and Licensing</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4.17</w:t>
            </w:r>
          </w:p>
        </w:tc>
        <w:tc>
          <w:tcPr>
            <w:tcW w:w="5500" w:type="dxa"/>
            <w:vAlign w:val="bottom"/>
          </w:tcPr>
          <w:p>
            <w:pPr>
              <w:ind w:left="140"/>
              <w:spacing w:after="0"/>
              <w:rPr>
                <w:sz w:val="20"/>
                <w:szCs w:val="20"/>
                <w:color w:val="auto"/>
              </w:rPr>
            </w:pPr>
            <w:r>
              <w:rPr>
                <w:rFonts w:ascii="Arial" w:cs="Arial" w:eastAsia="Arial" w:hAnsi="Arial"/>
                <w:sz w:val="18"/>
                <w:szCs w:val="18"/>
                <w:color w:val="auto"/>
              </w:rPr>
              <w:t>Regulatory Covenants</w:t>
            </w:r>
          </w:p>
        </w:tc>
      </w:tr>
      <w:tr>
        <w:trPr>
          <w:trHeight w:val="270"/>
        </w:trPr>
        <w:tc>
          <w:tcPr>
            <w:tcW w:w="7300" w:type="dxa"/>
            <w:vAlign w:val="bottom"/>
            <w:gridSpan w:val="2"/>
          </w:tcPr>
          <w:p>
            <w:pPr>
              <w:spacing w:after="0"/>
              <w:rPr>
                <w:sz w:val="20"/>
                <w:szCs w:val="20"/>
                <w:color w:val="auto"/>
              </w:rPr>
            </w:pPr>
            <w:r>
              <w:rPr>
                <w:rFonts w:ascii="Arial" w:cs="Arial" w:eastAsia="Arial" w:hAnsi="Arial"/>
                <w:sz w:val="18"/>
                <w:szCs w:val="18"/>
                <w:color w:val="auto"/>
              </w:rPr>
              <w:t>ARTICLE 5 - NEGATIVE COVENANTS</w:t>
            </w:r>
          </w:p>
        </w:tc>
      </w:tr>
      <w:tr>
        <w:trPr>
          <w:trHeight w:val="324"/>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w:t>
            </w:r>
          </w:p>
        </w:tc>
        <w:tc>
          <w:tcPr>
            <w:tcW w:w="5500" w:type="dxa"/>
            <w:vAlign w:val="bottom"/>
          </w:tcPr>
          <w:p>
            <w:pPr>
              <w:ind w:left="140"/>
              <w:spacing w:after="0"/>
              <w:rPr>
                <w:sz w:val="20"/>
                <w:szCs w:val="20"/>
                <w:color w:val="auto"/>
              </w:rPr>
            </w:pPr>
            <w:r>
              <w:rPr>
                <w:rFonts w:ascii="Arial" w:cs="Arial" w:eastAsia="Arial" w:hAnsi="Arial"/>
                <w:sz w:val="18"/>
                <w:szCs w:val="18"/>
                <w:color w:val="auto"/>
              </w:rPr>
              <w:t>Debt; Contingent Obligations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5.2</w:t>
            </w:r>
          </w:p>
        </w:tc>
        <w:tc>
          <w:tcPr>
            <w:tcW w:w="5500" w:type="dxa"/>
            <w:vAlign w:val="bottom"/>
          </w:tcPr>
          <w:p>
            <w:pPr>
              <w:ind w:left="140"/>
              <w:spacing w:after="0"/>
              <w:rPr>
                <w:sz w:val="20"/>
                <w:szCs w:val="20"/>
                <w:color w:val="auto"/>
              </w:rPr>
            </w:pPr>
            <w:r>
              <w:rPr>
                <w:rFonts w:ascii="Arial" w:cs="Arial" w:eastAsia="Arial" w:hAnsi="Arial"/>
                <w:sz w:val="18"/>
                <w:szCs w:val="18"/>
                <w:color w:val="auto"/>
              </w:rPr>
              <w:t>Liens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5.3</w:t>
            </w:r>
          </w:p>
        </w:tc>
        <w:tc>
          <w:tcPr>
            <w:tcW w:w="5500" w:type="dxa"/>
            <w:vAlign w:val="bottom"/>
          </w:tcPr>
          <w:p>
            <w:pPr>
              <w:ind w:left="140"/>
              <w:spacing w:after="0"/>
              <w:rPr>
                <w:sz w:val="20"/>
                <w:szCs w:val="20"/>
                <w:color w:val="auto"/>
              </w:rPr>
            </w:pPr>
            <w:r>
              <w:rPr>
                <w:rFonts w:ascii="Arial" w:cs="Arial" w:eastAsia="Arial" w:hAnsi="Arial"/>
                <w:sz w:val="18"/>
                <w:szCs w:val="18"/>
                <w:color w:val="auto"/>
              </w:rPr>
              <w:t>Distributions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5.4</w:t>
            </w:r>
          </w:p>
        </w:tc>
        <w:tc>
          <w:tcPr>
            <w:tcW w:w="5500" w:type="dxa"/>
            <w:vAlign w:val="bottom"/>
          </w:tcPr>
          <w:p>
            <w:pPr>
              <w:ind w:left="140"/>
              <w:spacing w:after="0"/>
              <w:rPr>
                <w:sz w:val="20"/>
                <w:szCs w:val="20"/>
                <w:color w:val="auto"/>
              </w:rPr>
            </w:pPr>
            <w:r>
              <w:rPr>
                <w:rFonts w:ascii="Arial" w:cs="Arial" w:eastAsia="Arial" w:hAnsi="Arial"/>
                <w:sz w:val="18"/>
                <w:szCs w:val="18"/>
                <w:color w:val="auto"/>
              </w:rPr>
              <w:t>Restrictive Agreements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5.5</w:t>
            </w:r>
          </w:p>
        </w:tc>
        <w:tc>
          <w:tcPr>
            <w:tcW w:w="5500" w:type="dxa"/>
            <w:vAlign w:val="bottom"/>
          </w:tcPr>
          <w:p>
            <w:pPr>
              <w:ind w:left="140"/>
              <w:spacing w:after="0"/>
              <w:rPr>
                <w:sz w:val="20"/>
                <w:szCs w:val="20"/>
                <w:color w:val="auto"/>
              </w:rPr>
            </w:pPr>
            <w:r>
              <w:rPr>
                <w:rFonts w:ascii="Arial" w:cs="Arial" w:eastAsia="Arial" w:hAnsi="Arial"/>
                <w:sz w:val="18"/>
                <w:szCs w:val="18"/>
                <w:color w:val="auto"/>
              </w:rPr>
              <w:t>Payments and Modifications of Subordinated Debt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5.6</w:t>
            </w:r>
          </w:p>
        </w:tc>
        <w:tc>
          <w:tcPr>
            <w:tcW w:w="5500" w:type="dxa"/>
            <w:vAlign w:val="bottom"/>
          </w:tcPr>
          <w:p>
            <w:pPr>
              <w:ind w:left="140"/>
              <w:spacing w:after="0"/>
              <w:rPr>
                <w:sz w:val="20"/>
                <w:szCs w:val="20"/>
                <w:color w:val="auto"/>
              </w:rPr>
            </w:pPr>
            <w:r>
              <w:rPr>
                <w:rFonts w:ascii="Arial" w:cs="Arial" w:eastAsia="Arial" w:hAnsi="Arial"/>
                <w:sz w:val="18"/>
                <w:szCs w:val="18"/>
                <w:color w:val="auto"/>
              </w:rPr>
              <w:t>Consolidations, Mergers and Sales of Assets; Change in Control</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5.7</w:t>
            </w:r>
          </w:p>
        </w:tc>
        <w:tc>
          <w:tcPr>
            <w:tcW w:w="5500" w:type="dxa"/>
            <w:vAlign w:val="bottom"/>
          </w:tcPr>
          <w:p>
            <w:pPr>
              <w:ind w:left="140"/>
              <w:spacing w:after="0"/>
              <w:rPr>
                <w:sz w:val="20"/>
                <w:szCs w:val="20"/>
                <w:color w:val="auto"/>
              </w:rPr>
            </w:pPr>
            <w:r>
              <w:rPr>
                <w:rFonts w:ascii="Arial" w:cs="Arial" w:eastAsia="Arial" w:hAnsi="Arial"/>
                <w:sz w:val="18"/>
                <w:szCs w:val="18"/>
                <w:color w:val="auto"/>
              </w:rPr>
              <w:t>Purchase of Assets, Investments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5.8</w:t>
            </w:r>
          </w:p>
        </w:tc>
        <w:tc>
          <w:tcPr>
            <w:tcW w:w="5500" w:type="dxa"/>
            <w:vAlign w:val="bottom"/>
          </w:tcPr>
          <w:p>
            <w:pPr>
              <w:ind w:left="140"/>
              <w:spacing w:after="0"/>
              <w:rPr>
                <w:sz w:val="20"/>
                <w:szCs w:val="20"/>
                <w:color w:val="auto"/>
              </w:rPr>
            </w:pPr>
            <w:r>
              <w:rPr>
                <w:rFonts w:ascii="Arial" w:cs="Arial" w:eastAsia="Arial" w:hAnsi="Arial"/>
                <w:sz w:val="18"/>
                <w:szCs w:val="18"/>
                <w:color w:val="auto"/>
              </w:rPr>
              <w:t>Transactions with Affiliates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5.9</w:t>
            </w:r>
          </w:p>
        </w:tc>
        <w:tc>
          <w:tcPr>
            <w:tcW w:w="5500" w:type="dxa"/>
            <w:vAlign w:val="bottom"/>
          </w:tcPr>
          <w:p>
            <w:pPr>
              <w:ind w:left="140"/>
              <w:spacing w:after="0"/>
              <w:rPr>
                <w:sz w:val="20"/>
                <w:szCs w:val="20"/>
                <w:color w:val="auto"/>
              </w:rPr>
            </w:pPr>
            <w:r>
              <w:rPr>
                <w:rFonts w:ascii="Arial" w:cs="Arial" w:eastAsia="Arial" w:hAnsi="Arial"/>
                <w:sz w:val="18"/>
                <w:szCs w:val="18"/>
                <w:color w:val="auto"/>
              </w:rPr>
              <w:t>Modification of Organizational Documents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5.10</w:t>
            </w:r>
          </w:p>
        </w:tc>
        <w:tc>
          <w:tcPr>
            <w:tcW w:w="5500" w:type="dxa"/>
            <w:vAlign w:val="bottom"/>
          </w:tcPr>
          <w:p>
            <w:pPr>
              <w:ind w:left="140"/>
              <w:spacing w:after="0"/>
              <w:rPr>
                <w:sz w:val="20"/>
                <w:szCs w:val="20"/>
                <w:color w:val="auto"/>
              </w:rPr>
            </w:pPr>
            <w:r>
              <w:rPr>
                <w:rFonts w:ascii="Arial" w:cs="Arial" w:eastAsia="Arial" w:hAnsi="Arial"/>
                <w:sz w:val="18"/>
                <w:szCs w:val="18"/>
                <w:color w:val="auto"/>
              </w:rPr>
              <w:t>Modification of Certain Agreements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5.11</w:t>
            </w:r>
          </w:p>
        </w:tc>
        <w:tc>
          <w:tcPr>
            <w:tcW w:w="5500" w:type="dxa"/>
            <w:vAlign w:val="bottom"/>
          </w:tcPr>
          <w:p>
            <w:pPr>
              <w:ind w:left="140"/>
              <w:spacing w:after="0"/>
              <w:rPr>
                <w:sz w:val="20"/>
                <w:szCs w:val="20"/>
                <w:color w:val="auto"/>
              </w:rPr>
            </w:pPr>
            <w:r>
              <w:rPr>
                <w:rFonts w:ascii="Arial" w:cs="Arial" w:eastAsia="Arial" w:hAnsi="Arial"/>
                <w:sz w:val="18"/>
                <w:szCs w:val="18"/>
                <w:color w:val="auto"/>
              </w:rPr>
              <w:t>Conduct of Business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5.12</w:t>
            </w:r>
          </w:p>
        </w:tc>
        <w:tc>
          <w:tcPr>
            <w:tcW w:w="5500" w:type="dxa"/>
            <w:vAlign w:val="bottom"/>
          </w:tcPr>
          <w:p>
            <w:pPr>
              <w:ind w:left="140"/>
              <w:spacing w:after="0"/>
              <w:rPr>
                <w:sz w:val="20"/>
                <w:szCs w:val="20"/>
                <w:color w:val="auto"/>
              </w:rPr>
            </w:pPr>
            <w:r>
              <w:rPr>
                <w:rFonts w:ascii="Arial" w:cs="Arial" w:eastAsia="Arial" w:hAnsi="Arial"/>
                <w:sz w:val="18"/>
                <w:szCs w:val="18"/>
                <w:color w:val="auto"/>
              </w:rPr>
              <w:t>Foreign Subsidiaries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5.13</w:t>
            </w:r>
          </w:p>
        </w:tc>
        <w:tc>
          <w:tcPr>
            <w:tcW w:w="5500" w:type="dxa"/>
            <w:vAlign w:val="bottom"/>
          </w:tcPr>
          <w:p>
            <w:pPr>
              <w:ind w:left="140"/>
              <w:spacing w:after="0"/>
              <w:rPr>
                <w:sz w:val="20"/>
                <w:szCs w:val="20"/>
                <w:color w:val="auto"/>
              </w:rPr>
            </w:pPr>
            <w:r>
              <w:rPr>
                <w:rFonts w:ascii="Arial" w:cs="Arial" w:eastAsia="Arial" w:hAnsi="Arial"/>
                <w:sz w:val="18"/>
                <w:szCs w:val="18"/>
                <w:color w:val="auto"/>
              </w:rPr>
              <w:t>Limitation on Sale and Leaseback Transactions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5.14</w:t>
            </w:r>
          </w:p>
        </w:tc>
        <w:tc>
          <w:tcPr>
            <w:tcW w:w="5500" w:type="dxa"/>
            <w:vAlign w:val="bottom"/>
          </w:tcPr>
          <w:p>
            <w:pPr>
              <w:ind w:left="140"/>
              <w:spacing w:after="0"/>
              <w:rPr>
                <w:sz w:val="20"/>
                <w:szCs w:val="20"/>
                <w:color w:val="auto"/>
              </w:rPr>
            </w:pPr>
            <w:r>
              <w:rPr>
                <w:rFonts w:ascii="Arial" w:cs="Arial" w:eastAsia="Arial" w:hAnsi="Arial"/>
                <w:sz w:val="18"/>
                <w:szCs w:val="18"/>
                <w:color w:val="auto"/>
                <w:w w:val="90"/>
              </w:rPr>
              <w:t>Deposit Accounts and Securities Accounts; Payroll and Benefits Accounts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5.15</w:t>
            </w:r>
          </w:p>
        </w:tc>
        <w:tc>
          <w:tcPr>
            <w:tcW w:w="5500" w:type="dxa"/>
            <w:vAlign w:val="bottom"/>
          </w:tcPr>
          <w:p>
            <w:pPr>
              <w:ind w:left="140"/>
              <w:spacing w:after="0"/>
              <w:rPr>
                <w:sz w:val="20"/>
                <w:szCs w:val="20"/>
                <w:color w:val="auto"/>
              </w:rPr>
            </w:pPr>
            <w:r>
              <w:rPr>
                <w:rFonts w:ascii="Arial" w:cs="Arial" w:eastAsia="Arial" w:hAnsi="Arial"/>
                <w:sz w:val="18"/>
                <w:szCs w:val="18"/>
                <w:color w:val="auto"/>
              </w:rPr>
              <w:t>Compliance with Anti-Terrorism Laws</w:t>
            </w:r>
          </w:p>
        </w:tc>
      </w:tr>
    </w:tbl>
    <w:p>
      <w:pPr>
        <w:spacing w:after="0" w:line="289"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ectPr>
          <w:pgSz w:w="11900" w:h="16838" w:orient="portrait"/>
          <w:cols w:equalWidth="0" w:num="2">
            <w:col w:w="10380" w:space="720"/>
            <w:col w:w="180"/>
          </w:cols>
          <w:pgMar w:left="280" w:top="78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5.16</w:t>
            </w:r>
          </w:p>
        </w:tc>
        <w:tc>
          <w:tcPr>
            <w:tcW w:w="5340" w:type="dxa"/>
            <w:vAlign w:val="bottom"/>
          </w:tcPr>
          <w:p>
            <w:pPr>
              <w:ind w:left="100"/>
              <w:spacing w:after="0"/>
              <w:rPr>
                <w:sz w:val="20"/>
                <w:szCs w:val="20"/>
                <w:color w:val="auto"/>
              </w:rPr>
            </w:pPr>
            <w:r>
              <w:rPr>
                <w:rFonts w:ascii="Arial" w:cs="Arial" w:eastAsia="Arial" w:hAnsi="Arial"/>
                <w:sz w:val="18"/>
                <w:szCs w:val="18"/>
                <w:color w:val="auto"/>
              </w:rPr>
              <w:t>Change in Accounting</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6 - FINANCIAL COVENANTS</w:t>
            </w:r>
          </w:p>
        </w:tc>
      </w:tr>
      <w:tr>
        <w:trPr>
          <w:trHeight w:val="324"/>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6.1</w:t>
            </w:r>
          </w:p>
        </w:tc>
        <w:tc>
          <w:tcPr>
            <w:tcW w:w="5340" w:type="dxa"/>
            <w:vAlign w:val="bottom"/>
          </w:tcPr>
          <w:p>
            <w:pPr>
              <w:ind w:left="100"/>
              <w:spacing w:after="0"/>
              <w:rPr>
                <w:sz w:val="20"/>
                <w:szCs w:val="20"/>
                <w:color w:val="auto"/>
              </w:rPr>
            </w:pPr>
            <w:r>
              <w:rPr>
                <w:rFonts w:ascii="Arial" w:cs="Arial" w:eastAsia="Arial" w:hAnsi="Arial"/>
                <w:sz w:val="18"/>
                <w:szCs w:val="18"/>
                <w:color w:val="auto"/>
              </w:rPr>
              <w:t>Minimum Net Product Revenue</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6.2</w:t>
            </w:r>
          </w:p>
        </w:tc>
        <w:tc>
          <w:tcPr>
            <w:tcW w:w="5340" w:type="dxa"/>
            <w:vAlign w:val="bottom"/>
          </w:tcPr>
          <w:p>
            <w:pPr>
              <w:ind w:left="100"/>
              <w:spacing w:after="0"/>
              <w:rPr>
                <w:sz w:val="20"/>
                <w:szCs w:val="20"/>
                <w:color w:val="auto"/>
              </w:rPr>
            </w:pPr>
            <w:r>
              <w:rPr>
                <w:rFonts w:ascii="Arial" w:cs="Arial" w:eastAsia="Arial" w:hAnsi="Arial"/>
                <w:sz w:val="18"/>
                <w:szCs w:val="18"/>
                <w:color w:val="auto"/>
              </w:rPr>
              <w:t>Evidence of Compliance</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7 - CONDITIONS</w:t>
            </w:r>
          </w:p>
        </w:tc>
      </w:tr>
      <w:tr>
        <w:trPr>
          <w:trHeight w:val="324"/>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7.1</w:t>
            </w:r>
          </w:p>
        </w:tc>
        <w:tc>
          <w:tcPr>
            <w:tcW w:w="5340" w:type="dxa"/>
            <w:vAlign w:val="bottom"/>
          </w:tcPr>
          <w:p>
            <w:pPr>
              <w:ind w:left="100"/>
              <w:spacing w:after="0"/>
              <w:rPr>
                <w:sz w:val="20"/>
                <w:szCs w:val="20"/>
                <w:color w:val="auto"/>
              </w:rPr>
            </w:pPr>
            <w:r>
              <w:rPr>
                <w:rFonts w:ascii="Arial" w:cs="Arial" w:eastAsia="Arial" w:hAnsi="Arial"/>
                <w:sz w:val="18"/>
                <w:szCs w:val="18"/>
                <w:color w:val="auto"/>
              </w:rPr>
              <w:t>Conditions to Closing</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7.2</w:t>
            </w:r>
          </w:p>
        </w:tc>
        <w:tc>
          <w:tcPr>
            <w:tcW w:w="5340" w:type="dxa"/>
            <w:vAlign w:val="bottom"/>
          </w:tcPr>
          <w:p>
            <w:pPr>
              <w:ind w:left="100"/>
              <w:spacing w:after="0"/>
              <w:rPr>
                <w:sz w:val="20"/>
                <w:szCs w:val="20"/>
                <w:color w:val="auto"/>
              </w:rPr>
            </w:pPr>
            <w:r>
              <w:rPr>
                <w:rFonts w:ascii="Arial" w:cs="Arial" w:eastAsia="Arial" w:hAnsi="Arial"/>
                <w:sz w:val="18"/>
                <w:szCs w:val="18"/>
                <w:color w:val="auto"/>
              </w:rPr>
              <w:t>Conditions to Each Loan</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7.3</w:t>
            </w:r>
          </w:p>
        </w:tc>
        <w:tc>
          <w:tcPr>
            <w:tcW w:w="5340" w:type="dxa"/>
            <w:vAlign w:val="bottom"/>
          </w:tcPr>
          <w:p>
            <w:pPr>
              <w:ind w:left="100"/>
              <w:spacing w:after="0"/>
              <w:rPr>
                <w:sz w:val="20"/>
                <w:szCs w:val="20"/>
                <w:color w:val="auto"/>
              </w:rPr>
            </w:pPr>
            <w:r>
              <w:rPr>
                <w:rFonts w:ascii="Arial" w:cs="Arial" w:eastAsia="Arial" w:hAnsi="Arial"/>
                <w:sz w:val="18"/>
                <w:szCs w:val="18"/>
                <w:color w:val="auto"/>
              </w:rPr>
              <w:t>Searches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7.4</w:t>
            </w:r>
          </w:p>
        </w:tc>
        <w:tc>
          <w:tcPr>
            <w:tcW w:w="5340" w:type="dxa"/>
            <w:vAlign w:val="bottom"/>
          </w:tcPr>
          <w:p>
            <w:pPr>
              <w:ind w:left="100"/>
              <w:spacing w:after="0"/>
              <w:rPr>
                <w:sz w:val="20"/>
                <w:szCs w:val="20"/>
                <w:color w:val="auto"/>
              </w:rPr>
            </w:pPr>
            <w:r>
              <w:rPr>
                <w:rFonts w:ascii="Arial" w:cs="Arial" w:eastAsia="Arial" w:hAnsi="Arial"/>
                <w:sz w:val="18"/>
                <w:szCs w:val="18"/>
                <w:color w:val="auto"/>
              </w:rPr>
              <w:t>Post-Closing Requirements</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8 – RESERVED</w:t>
            </w:r>
          </w:p>
        </w:tc>
      </w:tr>
      <w:tr>
        <w:trPr>
          <w:trHeight w:val="297"/>
        </w:trPr>
        <w:tc>
          <w:tcPr>
            <w:tcW w:w="7180" w:type="dxa"/>
            <w:vAlign w:val="bottom"/>
            <w:gridSpan w:val="2"/>
          </w:tcPr>
          <w:p>
            <w:pPr>
              <w:spacing w:after="0"/>
              <w:rPr>
                <w:sz w:val="20"/>
                <w:szCs w:val="20"/>
                <w:color w:val="auto"/>
              </w:rPr>
            </w:pPr>
            <w:r>
              <w:rPr>
                <w:rFonts w:ascii="Arial" w:cs="Arial" w:eastAsia="Arial" w:hAnsi="Arial"/>
                <w:sz w:val="18"/>
                <w:szCs w:val="18"/>
                <w:color w:val="auto"/>
              </w:rPr>
              <w:t>ARTICLE 9 - SECURITY AGREEMENT</w:t>
            </w:r>
          </w:p>
        </w:tc>
      </w:tr>
      <w:tr>
        <w:trPr>
          <w:trHeight w:val="324"/>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9.1</w:t>
            </w:r>
          </w:p>
        </w:tc>
        <w:tc>
          <w:tcPr>
            <w:tcW w:w="5340" w:type="dxa"/>
            <w:vAlign w:val="bottom"/>
          </w:tcPr>
          <w:p>
            <w:pPr>
              <w:ind w:left="100"/>
              <w:spacing w:after="0"/>
              <w:rPr>
                <w:sz w:val="20"/>
                <w:szCs w:val="20"/>
                <w:color w:val="auto"/>
              </w:rPr>
            </w:pPr>
            <w:r>
              <w:rPr>
                <w:rFonts w:ascii="Arial" w:cs="Arial" w:eastAsia="Arial" w:hAnsi="Arial"/>
                <w:sz w:val="18"/>
                <w:szCs w:val="18"/>
                <w:color w:val="auto"/>
              </w:rPr>
              <w:t>Generally</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9.2</w:t>
            </w:r>
          </w:p>
        </w:tc>
        <w:tc>
          <w:tcPr>
            <w:tcW w:w="5340" w:type="dxa"/>
            <w:vAlign w:val="bottom"/>
          </w:tcPr>
          <w:p>
            <w:pPr>
              <w:ind w:left="100"/>
              <w:spacing w:after="0"/>
              <w:rPr>
                <w:sz w:val="20"/>
                <w:szCs w:val="20"/>
                <w:color w:val="auto"/>
              </w:rPr>
            </w:pPr>
            <w:r>
              <w:rPr>
                <w:rFonts w:ascii="Arial" w:cs="Arial" w:eastAsia="Arial" w:hAnsi="Arial"/>
                <w:sz w:val="18"/>
                <w:szCs w:val="18"/>
                <w:color w:val="auto"/>
                <w:w w:val="93"/>
              </w:rPr>
              <w:t>Representations and Warranties and Covenants Relating to Collateral</w:t>
            </w:r>
          </w:p>
        </w:tc>
      </w:tr>
      <w:tr>
        <w:trPr>
          <w:trHeight w:val="270"/>
        </w:trPr>
        <w:tc>
          <w:tcPr>
            <w:tcW w:w="7180" w:type="dxa"/>
            <w:vAlign w:val="bottom"/>
            <w:gridSpan w:val="2"/>
          </w:tcPr>
          <w:p>
            <w:pPr>
              <w:spacing w:after="0"/>
              <w:rPr>
                <w:sz w:val="20"/>
                <w:szCs w:val="20"/>
                <w:color w:val="auto"/>
              </w:rPr>
            </w:pPr>
            <w:r>
              <w:rPr>
                <w:rFonts w:ascii="Arial" w:cs="Arial" w:eastAsia="Arial" w:hAnsi="Arial"/>
                <w:sz w:val="18"/>
                <w:szCs w:val="18"/>
                <w:color w:val="auto"/>
              </w:rPr>
              <w:t>ARTICLE 10 - EVENTS OF DEFAULT</w:t>
            </w:r>
          </w:p>
        </w:tc>
      </w:tr>
      <w:tr>
        <w:trPr>
          <w:trHeight w:val="324"/>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10.1</w:t>
            </w:r>
          </w:p>
        </w:tc>
        <w:tc>
          <w:tcPr>
            <w:tcW w:w="5340" w:type="dxa"/>
            <w:vAlign w:val="bottom"/>
          </w:tcPr>
          <w:p>
            <w:pPr>
              <w:ind w:left="100"/>
              <w:spacing w:after="0"/>
              <w:rPr>
                <w:sz w:val="20"/>
                <w:szCs w:val="20"/>
                <w:color w:val="auto"/>
              </w:rPr>
            </w:pPr>
            <w:r>
              <w:rPr>
                <w:rFonts w:ascii="Arial" w:cs="Arial" w:eastAsia="Arial" w:hAnsi="Arial"/>
                <w:sz w:val="18"/>
                <w:szCs w:val="18"/>
                <w:color w:val="auto"/>
              </w:rPr>
              <w:t>Events of Default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10.2</w:t>
            </w:r>
          </w:p>
        </w:tc>
        <w:tc>
          <w:tcPr>
            <w:tcW w:w="5340" w:type="dxa"/>
            <w:vAlign w:val="bottom"/>
          </w:tcPr>
          <w:p>
            <w:pPr>
              <w:ind w:left="100"/>
              <w:spacing w:after="0"/>
              <w:rPr>
                <w:sz w:val="20"/>
                <w:szCs w:val="20"/>
                <w:color w:val="auto"/>
              </w:rPr>
            </w:pPr>
            <w:r>
              <w:rPr>
                <w:rFonts w:ascii="Arial" w:cs="Arial" w:eastAsia="Arial" w:hAnsi="Arial"/>
                <w:sz w:val="18"/>
                <w:szCs w:val="18"/>
                <w:color w:val="auto"/>
                <w:w w:val="91"/>
              </w:rPr>
              <w:t>Acceleration and Suspension or Termination of Term Loan Commitment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10.3</w:t>
            </w:r>
          </w:p>
        </w:tc>
        <w:tc>
          <w:tcPr>
            <w:tcW w:w="5340" w:type="dxa"/>
            <w:vAlign w:val="bottom"/>
          </w:tcPr>
          <w:p>
            <w:pPr>
              <w:ind w:left="100"/>
              <w:spacing w:after="0"/>
              <w:rPr>
                <w:sz w:val="20"/>
                <w:szCs w:val="20"/>
                <w:color w:val="auto"/>
              </w:rPr>
            </w:pPr>
            <w:r>
              <w:rPr>
                <w:rFonts w:ascii="Arial" w:cs="Arial" w:eastAsia="Arial" w:hAnsi="Arial"/>
                <w:sz w:val="18"/>
                <w:szCs w:val="18"/>
                <w:color w:val="auto"/>
              </w:rPr>
              <w:t>UCC Remedies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10.4</w:t>
            </w:r>
          </w:p>
        </w:tc>
        <w:tc>
          <w:tcPr>
            <w:tcW w:w="5340" w:type="dxa"/>
            <w:vAlign w:val="bottom"/>
          </w:tcPr>
          <w:p>
            <w:pPr>
              <w:ind w:left="100"/>
              <w:spacing w:after="0"/>
              <w:rPr>
                <w:sz w:val="20"/>
                <w:szCs w:val="20"/>
                <w:color w:val="auto"/>
              </w:rPr>
            </w:pPr>
            <w:r>
              <w:rPr>
                <w:rFonts w:ascii="Arial" w:cs="Arial" w:eastAsia="Arial" w:hAnsi="Arial"/>
                <w:sz w:val="18"/>
                <w:szCs w:val="18"/>
                <w:color w:val="auto"/>
              </w:rPr>
              <w:t>Reserved</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10.5</w:t>
            </w:r>
          </w:p>
        </w:tc>
        <w:tc>
          <w:tcPr>
            <w:tcW w:w="5340" w:type="dxa"/>
            <w:vAlign w:val="bottom"/>
          </w:tcPr>
          <w:p>
            <w:pPr>
              <w:ind w:left="100"/>
              <w:spacing w:after="0"/>
              <w:rPr>
                <w:sz w:val="20"/>
                <w:szCs w:val="20"/>
                <w:color w:val="auto"/>
              </w:rPr>
            </w:pPr>
            <w:r>
              <w:rPr>
                <w:rFonts w:ascii="Arial" w:cs="Arial" w:eastAsia="Arial" w:hAnsi="Arial"/>
                <w:sz w:val="18"/>
                <w:szCs w:val="18"/>
                <w:color w:val="auto"/>
              </w:rPr>
              <w:t>Default Rate of Interest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10.6</w:t>
            </w:r>
          </w:p>
        </w:tc>
        <w:tc>
          <w:tcPr>
            <w:tcW w:w="5340" w:type="dxa"/>
            <w:vAlign w:val="bottom"/>
          </w:tcPr>
          <w:p>
            <w:pPr>
              <w:ind w:left="100"/>
              <w:spacing w:after="0"/>
              <w:rPr>
                <w:sz w:val="20"/>
                <w:szCs w:val="20"/>
                <w:color w:val="auto"/>
              </w:rPr>
            </w:pPr>
            <w:r>
              <w:rPr>
                <w:rFonts w:ascii="Arial" w:cs="Arial" w:eastAsia="Arial" w:hAnsi="Arial"/>
                <w:sz w:val="18"/>
                <w:szCs w:val="18"/>
                <w:color w:val="auto"/>
              </w:rPr>
              <w:t>Setoff Rights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10.7</w:t>
            </w:r>
          </w:p>
        </w:tc>
        <w:tc>
          <w:tcPr>
            <w:tcW w:w="5340" w:type="dxa"/>
            <w:vAlign w:val="bottom"/>
          </w:tcPr>
          <w:p>
            <w:pPr>
              <w:ind w:left="100"/>
              <w:spacing w:after="0"/>
              <w:rPr>
                <w:sz w:val="20"/>
                <w:szCs w:val="20"/>
                <w:color w:val="auto"/>
              </w:rPr>
            </w:pPr>
            <w:r>
              <w:rPr>
                <w:rFonts w:ascii="Arial" w:cs="Arial" w:eastAsia="Arial" w:hAnsi="Arial"/>
                <w:sz w:val="18"/>
                <w:szCs w:val="18"/>
                <w:color w:val="auto"/>
              </w:rPr>
              <w:t>Application of Proceeds.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10.8</w:t>
            </w:r>
          </w:p>
        </w:tc>
        <w:tc>
          <w:tcPr>
            <w:tcW w:w="5340" w:type="dxa"/>
            <w:vAlign w:val="bottom"/>
          </w:tcPr>
          <w:p>
            <w:pPr>
              <w:ind w:left="100"/>
              <w:spacing w:after="0"/>
              <w:rPr>
                <w:sz w:val="20"/>
                <w:szCs w:val="20"/>
                <w:color w:val="auto"/>
              </w:rPr>
            </w:pPr>
            <w:r>
              <w:rPr>
                <w:rFonts w:ascii="Arial" w:cs="Arial" w:eastAsia="Arial" w:hAnsi="Arial"/>
                <w:sz w:val="18"/>
                <w:szCs w:val="18"/>
                <w:color w:val="auto"/>
              </w:rPr>
              <w:t>Waivers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10.9</w:t>
            </w:r>
          </w:p>
        </w:tc>
        <w:tc>
          <w:tcPr>
            <w:tcW w:w="5340" w:type="dxa"/>
            <w:vAlign w:val="bottom"/>
          </w:tcPr>
          <w:p>
            <w:pPr>
              <w:ind w:left="100"/>
              <w:spacing w:after="0"/>
              <w:rPr>
                <w:sz w:val="20"/>
                <w:szCs w:val="20"/>
                <w:color w:val="auto"/>
              </w:rPr>
            </w:pPr>
            <w:r>
              <w:rPr>
                <w:rFonts w:ascii="Arial" w:cs="Arial" w:eastAsia="Arial" w:hAnsi="Arial"/>
                <w:sz w:val="18"/>
                <w:szCs w:val="18"/>
                <w:color w:val="auto"/>
              </w:rPr>
              <w:t>Injunctive Relief</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10.10</w:t>
            </w:r>
          </w:p>
        </w:tc>
        <w:tc>
          <w:tcPr>
            <w:tcW w:w="5340" w:type="dxa"/>
            <w:vAlign w:val="bottom"/>
          </w:tcPr>
          <w:p>
            <w:pPr>
              <w:ind w:left="100"/>
              <w:spacing w:after="0"/>
              <w:rPr>
                <w:sz w:val="20"/>
                <w:szCs w:val="20"/>
                <w:color w:val="auto"/>
              </w:rPr>
            </w:pPr>
            <w:r>
              <w:rPr>
                <w:rFonts w:ascii="Arial" w:cs="Arial" w:eastAsia="Arial" w:hAnsi="Arial"/>
                <w:sz w:val="18"/>
                <w:szCs w:val="18"/>
                <w:color w:val="auto"/>
              </w:rPr>
              <w:t>Marshalling; Payments Set Aside</w:t>
            </w:r>
          </w:p>
        </w:tc>
      </w:tr>
      <w:tr>
        <w:trPr>
          <w:trHeight w:val="270"/>
        </w:trPr>
        <w:tc>
          <w:tcPr>
            <w:tcW w:w="1840" w:type="dxa"/>
            <w:vAlign w:val="bottom"/>
          </w:tcPr>
          <w:p>
            <w:pPr>
              <w:spacing w:after="0"/>
              <w:rPr>
                <w:sz w:val="20"/>
                <w:szCs w:val="20"/>
                <w:color w:val="auto"/>
              </w:rPr>
            </w:pPr>
            <w:r>
              <w:rPr>
                <w:rFonts w:ascii="Arial" w:cs="Arial" w:eastAsia="Arial" w:hAnsi="Arial"/>
                <w:sz w:val="18"/>
                <w:szCs w:val="18"/>
                <w:color w:val="auto"/>
              </w:rPr>
              <w:t>ARTICLE 11 - AGENT</w:t>
            </w:r>
          </w:p>
        </w:tc>
        <w:tc>
          <w:tcPr>
            <w:tcW w:w="5340" w:type="dxa"/>
            <w:vAlign w:val="bottom"/>
          </w:tcPr>
          <w:p>
            <w:pPr>
              <w:spacing w:after="0"/>
              <w:rPr>
                <w:sz w:val="23"/>
                <w:szCs w:val="23"/>
                <w:color w:val="auto"/>
              </w:rPr>
            </w:pPr>
          </w:p>
        </w:tc>
      </w:tr>
      <w:tr>
        <w:trPr>
          <w:trHeight w:val="324"/>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11.1</w:t>
            </w:r>
          </w:p>
        </w:tc>
        <w:tc>
          <w:tcPr>
            <w:tcW w:w="5340" w:type="dxa"/>
            <w:vAlign w:val="bottom"/>
          </w:tcPr>
          <w:p>
            <w:pPr>
              <w:ind w:left="100"/>
              <w:spacing w:after="0"/>
              <w:rPr>
                <w:sz w:val="20"/>
                <w:szCs w:val="20"/>
                <w:color w:val="auto"/>
              </w:rPr>
            </w:pPr>
            <w:r>
              <w:rPr>
                <w:rFonts w:ascii="Arial" w:cs="Arial" w:eastAsia="Arial" w:hAnsi="Arial"/>
                <w:sz w:val="18"/>
                <w:szCs w:val="18"/>
                <w:color w:val="auto"/>
              </w:rPr>
              <w:t>Appointment and Authorization</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11.2</w:t>
            </w:r>
          </w:p>
        </w:tc>
        <w:tc>
          <w:tcPr>
            <w:tcW w:w="5340" w:type="dxa"/>
            <w:vAlign w:val="bottom"/>
          </w:tcPr>
          <w:p>
            <w:pPr>
              <w:ind w:left="100"/>
              <w:spacing w:after="0"/>
              <w:rPr>
                <w:sz w:val="20"/>
                <w:szCs w:val="20"/>
                <w:color w:val="auto"/>
              </w:rPr>
            </w:pPr>
            <w:r>
              <w:rPr>
                <w:rFonts w:ascii="Arial" w:cs="Arial" w:eastAsia="Arial" w:hAnsi="Arial"/>
                <w:sz w:val="18"/>
                <w:szCs w:val="18"/>
                <w:color w:val="auto"/>
              </w:rPr>
              <w:t>Agent and Affiliates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11.3</w:t>
            </w:r>
          </w:p>
        </w:tc>
        <w:tc>
          <w:tcPr>
            <w:tcW w:w="5340" w:type="dxa"/>
            <w:vAlign w:val="bottom"/>
          </w:tcPr>
          <w:p>
            <w:pPr>
              <w:ind w:left="100"/>
              <w:spacing w:after="0"/>
              <w:rPr>
                <w:sz w:val="20"/>
                <w:szCs w:val="20"/>
                <w:color w:val="auto"/>
              </w:rPr>
            </w:pPr>
            <w:r>
              <w:rPr>
                <w:rFonts w:ascii="Arial" w:cs="Arial" w:eastAsia="Arial" w:hAnsi="Arial"/>
                <w:sz w:val="18"/>
                <w:szCs w:val="18"/>
                <w:color w:val="auto"/>
              </w:rPr>
              <w:t>Action by Agent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11.4</w:t>
            </w:r>
          </w:p>
        </w:tc>
        <w:tc>
          <w:tcPr>
            <w:tcW w:w="5340" w:type="dxa"/>
            <w:vAlign w:val="bottom"/>
          </w:tcPr>
          <w:p>
            <w:pPr>
              <w:ind w:left="100"/>
              <w:spacing w:after="0"/>
              <w:rPr>
                <w:sz w:val="20"/>
                <w:szCs w:val="20"/>
                <w:color w:val="auto"/>
              </w:rPr>
            </w:pPr>
            <w:r>
              <w:rPr>
                <w:rFonts w:ascii="Arial" w:cs="Arial" w:eastAsia="Arial" w:hAnsi="Arial"/>
                <w:sz w:val="18"/>
                <w:szCs w:val="18"/>
                <w:color w:val="auto"/>
              </w:rPr>
              <w:t>Consultation with Experts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11.5</w:t>
            </w:r>
          </w:p>
        </w:tc>
        <w:tc>
          <w:tcPr>
            <w:tcW w:w="5340" w:type="dxa"/>
            <w:vAlign w:val="bottom"/>
          </w:tcPr>
          <w:p>
            <w:pPr>
              <w:ind w:left="100"/>
              <w:spacing w:after="0"/>
              <w:rPr>
                <w:sz w:val="20"/>
                <w:szCs w:val="20"/>
                <w:color w:val="auto"/>
              </w:rPr>
            </w:pPr>
            <w:r>
              <w:rPr>
                <w:rFonts w:ascii="Arial" w:cs="Arial" w:eastAsia="Arial" w:hAnsi="Arial"/>
                <w:sz w:val="18"/>
                <w:szCs w:val="18"/>
                <w:color w:val="auto"/>
              </w:rPr>
              <w:t>Liability of Agent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11.6</w:t>
            </w:r>
          </w:p>
        </w:tc>
        <w:tc>
          <w:tcPr>
            <w:tcW w:w="5340" w:type="dxa"/>
            <w:vAlign w:val="bottom"/>
          </w:tcPr>
          <w:p>
            <w:pPr>
              <w:ind w:left="100"/>
              <w:spacing w:after="0"/>
              <w:rPr>
                <w:sz w:val="20"/>
                <w:szCs w:val="20"/>
                <w:color w:val="auto"/>
              </w:rPr>
            </w:pPr>
            <w:r>
              <w:rPr>
                <w:rFonts w:ascii="Arial" w:cs="Arial" w:eastAsia="Arial" w:hAnsi="Arial"/>
                <w:sz w:val="18"/>
                <w:szCs w:val="18"/>
                <w:color w:val="auto"/>
              </w:rPr>
              <w:t>Indemnification</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11.7</w:t>
            </w:r>
          </w:p>
        </w:tc>
        <w:tc>
          <w:tcPr>
            <w:tcW w:w="5340" w:type="dxa"/>
            <w:vAlign w:val="bottom"/>
          </w:tcPr>
          <w:p>
            <w:pPr>
              <w:ind w:left="100"/>
              <w:spacing w:after="0"/>
              <w:rPr>
                <w:sz w:val="20"/>
                <w:szCs w:val="20"/>
                <w:color w:val="auto"/>
              </w:rPr>
            </w:pPr>
            <w:r>
              <w:rPr>
                <w:rFonts w:ascii="Arial" w:cs="Arial" w:eastAsia="Arial" w:hAnsi="Arial"/>
                <w:sz w:val="18"/>
                <w:szCs w:val="18"/>
                <w:color w:val="auto"/>
              </w:rPr>
              <w:t>Right to Request and Act on Instructions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11.8</w:t>
            </w:r>
          </w:p>
        </w:tc>
        <w:tc>
          <w:tcPr>
            <w:tcW w:w="5340" w:type="dxa"/>
            <w:vAlign w:val="bottom"/>
          </w:tcPr>
          <w:p>
            <w:pPr>
              <w:ind w:left="100"/>
              <w:spacing w:after="0"/>
              <w:rPr>
                <w:sz w:val="20"/>
                <w:szCs w:val="20"/>
                <w:color w:val="auto"/>
              </w:rPr>
            </w:pPr>
            <w:r>
              <w:rPr>
                <w:rFonts w:ascii="Arial" w:cs="Arial" w:eastAsia="Arial" w:hAnsi="Arial"/>
                <w:sz w:val="18"/>
                <w:szCs w:val="18"/>
                <w:color w:val="auto"/>
              </w:rPr>
              <w:t>Credit Decision</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11.9</w:t>
            </w:r>
          </w:p>
        </w:tc>
        <w:tc>
          <w:tcPr>
            <w:tcW w:w="5340" w:type="dxa"/>
            <w:vAlign w:val="bottom"/>
          </w:tcPr>
          <w:p>
            <w:pPr>
              <w:ind w:left="100"/>
              <w:spacing w:after="0"/>
              <w:rPr>
                <w:sz w:val="20"/>
                <w:szCs w:val="20"/>
                <w:color w:val="auto"/>
              </w:rPr>
            </w:pPr>
            <w:r>
              <w:rPr>
                <w:rFonts w:ascii="Arial" w:cs="Arial" w:eastAsia="Arial" w:hAnsi="Arial"/>
                <w:sz w:val="18"/>
                <w:szCs w:val="18"/>
                <w:color w:val="auto"/>
              </w:rPr>
              <w:t>Collateral Matters</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11.10</w:t>
            </w:r>
          </w:p>
        </w:tc>
        <w:tc>
          <w:tcPr>
            <w:tcW w:w="5340" w:type="dxa"/>
            <w:vAlign w:val="bottom"/>
          </w:tcPr>
          <w:p>
            <w:pPr>
              <w:ind w:left="100"/>
              <w:spacing w:after="0"/>
              <w:rPr>
                <w:sz w:val="20"/>
                <w:szCs w:val="20"/>
                <w:color w:val="auto"/>
              </w:rPr>
            </w:pPr>
            <w:r>
              <w:rPr>
                <w:rFonts w:ascii="Arial" w:cs="Arial" w:eastAsia="Arial" w:hAnsi="Arial"/>
                <w:sz w:val="18"/>
                <w:szCs w:val="18"/>
                <w:color w:val="auto"/>
              </w:rPr>
              <w:t>Agency for Perfection</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11.11</w:t>
            </w:r>
          </w:p>
        </w:tc>
        <w:tc>
          <w:tcPr>
            <w:tcW w:w="5340" w:type="dxa"/>
            <w:vAlign w:val="bottom"/>
          </w:tcPr>
          <w:p>
            <w:pPr>
              <w:ind w:left="100"/>
              <w:spacing w:after="0"/>
              <w:rPr>
                <w:sz w:val="20"/>
                <w:szCs w:val="20"/>
                <w:color w:val="auto"/>
              </w:rPr>
            </w:pPr>
            <w:r>
              <w:rPr>
                <w:rFonts w:ascii="Arial" w:cs="Arial" w:eastAsia="Arial" w:hAnsi="Arial"/>
                <w:sz w:val="18"/>
                <w:szCs w:val="18"/>
                <w:color w:val="auto"/>
              </w:rPr>
              <w:t>Notice of Default</w:t>
            </w:r>
          </w:p>
        </w:tc>
      </w:tr>
      <w:tr>
        <w:trPr>
          <w:trHeight w:val="297"/>
        </w:trPr>
        <w:tc>
          <w:tcPr>
            <w:tcW w:w="1840" w:type="dxa"/>
            <w:vAlign w:val="bottom"/>
          </w:tcPr>
          <w:p>
            <w:pPr>
              <w:jc w:val="right"/>
              <w:ind w:right="90"/>
              <w:spacing w:after="0"/>
              <w:rPr>
                <w:sz w:val="20"/>
                <w:szCs w:val="20"/>
                <w:color w:val="auto"/>
              </w:rPr>
            </w:pPr>
            <w:r>
              <w:rPr>
                <w:rFonts w:ascii="Arial" w:cs="Arial" w:eastAsia="Arial" w:hAnsi="Arial"/>
                <w:sz w:val="18"/>
                <w:szCs w:val="18"/>
                <w:color w:val="auto"/>
              </w:rPr>
              <w:t>Section 11.12</w:t>
            </w:r>
          </w:p>
        </w:tc>
        <w:tc>
          <w:tcPr>
            <w:tcW w:w="5340" w:type="dxa"/>
            <w:vAlign w:val="bottom"/>
          </w:tcPr>
          <w:p>
            <w:pPr>
              <w:ind w:left="100"/>
              <w:spacing w:after="0"/>
              <w:rPr>
                <w:sz w:val="20"/>
                <w:szCs w:val="20"/>
                <w:color w:val="auto"/>
              </w:rPr>
            </w:pPr>
            <w:r>
              <w:rPr>
                <w:rFonts w:ascii="Arial" w:cs="Arial" w:eastAsia="Arial" w:hAnsi="Arial"/>
                <w:sz w:val="18"/>
                <w:szCs w:val="18"/>
                <w:color w:val="auto"/>
              </w:rPr>
              <w:t>Assignment by Agent; Resignation of Agent; Successor Agent.</w:t>
            </w:r>
          </w:p>
        </w:tc>
      </w:tr>
    </w:tbl>
    <w:p>
      <w:pPr>
        <w:spacing w:after="0" w:line="289"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ectPr>
          <w:pgSz w:w="11900" w:h="16838" w:orient="portrait"/>
          <w:cols w:equalWidth="0" w:num="2">
            <w:col w:w="10380" w:space="720"/>
            <w:col w:w="180"/>
          </w:cols>
          <w:pgMar w:left="280" w:top="78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11.13</w:t>
            </w:r>
          </w:p>
        </w:tc>
        <w:tc>
          <w:tcPr>
            <w:tcW w:w="6020" w:type="dxa"/>
            <w:vAlign w:val="bottom"/>
          </w:tcPr>
          <w:p>
            <w:pPr>
              <w:ind w:left="140"/>
              <w:spacing w:after="0"/>
              <w:rPr>
                <w:sz w:val="20"/>
                <w:szCs w:val="20"/>
                <w:color w:val="auto"/>
              </w:rPr>
            </w:pPr>
            <w:r>
              <w:rPr>
                <w:rFonts w:ascii="Arial" w:cs="Arial" w:eastAsia="Arial" w:hAnsi="Arial"/>
                <w:sz w:val="18"/>
                <w:szCs w:val="18"/>
                <w:color w:val="auto"/>
              </w:rPr>
              <w:t>Payment and Sharing of Payment.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11.14</w:t>
            </w:r>
          </w:p>
        </w:tc>
        <w:tc>
          <w:tcPr>
            <w:tcW w:w="6020" w:type="dxa"/>
            <w:vAlign w:val="bottom"/>
          </w:tcPr>
          <w:p>
            <w:pPr>
              <w:ind w:left="140"/>
              <w:spacing w:after="0"/>
              <w:rPr>
                <w:sz w:val="20"/>
                <w:szCs w:val="20"/>
                <w:color w:val="auto"/>
              </w:rPr>
            </w:pPr>
            <w:r>
              <w:rPr>
                <w:rFonts w:ascii="Arial" w:cs="Arial" w:eastAsia="Arial" w:hAnsi="Arial"/>
                <w:sz w:val="18"/>
                <w:szCs w:val="18"/>
                <w:color w:val="auto"/>
              </w:rPr>
              <w:t>Right to Perform, Preserve and Protect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11.15</w:t>
            </w:r>
          </w:p>
        </w:tc>
        <w:tc>
          <w:tcPr>
            <w:tcW w:w="6020" w:type="dxa"/>
            <w:vAlign w:val="bottom"/>
          </w:tcPr>
          <w:p>
            <w:pPr>
              <w:ind w:left="140"/>
              <w:spacing w:after="0"/>
              <w:rPr>
                <w:sz w:val="20"/>
                <w:szCs w:val="20"/>
                <w:color w:val="auto"/>
              </w:rPr>
            </w:pPr>
            <w:r>
              <w:rPr>
                <w:rFonts w:ascii="Arial" w:cs="Arial" w:eastAsia="Arial" w:hAnsi="Arial"/>
                <w:sz w:val="18"/>
                <w:szCs w:val="18"/>
                <w:color w:val="auto"/>
              </w:rPr>
              <w:t>Additional Titled Agents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11.16</w:t>
            </w:r>
          </w:p>
        </w:tc>
        <w:tc>
          <w:tcPr>
            <w:tcW w:w="6020" w:type="dxa"/>
            <w:vAlign w:val="bottom"/>
          </w:tcPr>
          <w:p>
            <w:pPr>
              <w:ind w:left="140"/>
              <w:spacing w:after="0"/>
              <w:rPr>
                <w:sz w:val="20"/>
                <w:szCs w:val="20"/>
                <w:color w:val="auto"/>
              </w:rPr>
            </w:pPr>
            <w:r>
              <w:rPr>
                <w:rFonts w:ascii="Arial" w:cs="Arial" w:eastAsia="Arial" w:hAnsi="Arial"/>
                <w:sz w:val="18"/>
                <w:szCs w:val="18"/>
                <w:color w:val="auto"/>
              </w:rPr>
              <w:t>Amendments and Waivers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11.17</w:t>
            </w:r>
          </w:p>
        </w:tc>
        <w:tc>
          <w:tcPr>
            <w:tcW w:w="6020" w:type="dxa"/>
            <w:vAlign w:val="bottom"/>
          </w:tcPr>
          <w:p>
            <w:pPr>
              <w:ind w:left="140"/>
              <w:spacing w:after="0"/>
              <w:rPr>
                <w:sz w:val="20"/>
                <w:szCs w:val="20"/>
                <w:color w:val="auto"/>
              </w:rPr>
            </w:pPr>
            <w:r>
              <w:rPr>
                <w:rFonts w:ascii="Arial" w:cs="Arial" w:eastAsia="Arial" w:hAnsi="Arial"/>
                <w:sz w:val="18"/>
                <w:szCs w:val="18"/>
                <w:color w:val="auto"/>
              </w:rPr>
              <w:t>Assignments and Participations.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11.18</w:t>
            </w:r>
          </w:p>
        </w:tc>
        <w:tc>
          <w:tcPr>
            <w:tcW w:w="6020" w:type="dxa"/>
            <w:vAlign w:val="bottom"/>
          </w:tcPr>
          <w:p>
            <w:pPr>
              <w:ind w:left="140"/>
              <w:spacing w:after="0"/>
              <w:rPr>
                <w:sz w:val="20"/>
                <w:szCs w:val="20"/>
                <w:color w:val="auto"/>
              </w:rPr>
            </w:pPr>
            <w:r>
              <w:rPr>
                <w:rFonts w:ascii="Arial" w:cs="Arial" w:eastAsia="Arial" w:hAnsi="Arial"/>
                <w:sz w:val="18"/>
                <w:szCs w:val="18"/>
                <w:color w:val="auto"/>
                <w:w w:val="91"/>
              </w:rPr>
              <w:t>Funding and Settlement Provisions Applicable When Non-Funding Lenders Exist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11.19</w:t>
            </w:r>
          </w:p>
        </w:tc>
        <w:tc>
          <w:tcPr>
            <w:tcW w:w="602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11.20</w:t>
            </w:r>
          </w:p>
        </w:tc>
        <w:tc>
          <w:tcPr>
            <w:tcW w:w="6020" w:type="dxa"/>
            <w:vAlign w:val="bottom"/>
          </w:tcPr>
          <w:p>
            <w:pPr>
              <w:ind w:left="140"/>
              <w:spacing w:after="0"/>
              <w:rPr>
                <w:sz w:val="20"/>
                <w:szCs w:val="20"/>
                <w:color w:val="auto"/>
              </w:rPr>
            </w:pPr>
            <w:r>
              <w:rPr>
                <w:rFonts w:ascii="Arial" w:cs="Arial" w:eastAsia="Arial" w:hAnsi="Arial"/>
                <w:sz w:val="18"/>
                <w:szCs w:val="18"/>
                <w:color w:val="auto"/>
              </w:rPr>
              <w:t>Definitions</w:t>
            </w:r>
          </w:p>
        </w:tc>
      </w:tr>
      <w:tr>
        <w:trPr>
          <w:trHeight w:val="270"/>
        </w:trPr>
        <w:tc>
          <w:tcPr>
            <w:tcW w:w="7820" w:type="dxa"/>
            <w:vAlign w:val="bottom"/>
            <w:gridSpan w:val="2"/>
          </w:tcPr>
          <w:p>
            <w:pPr>
              <w:spacing w:after="0"/>
              <w:rPr>
                <w:sz w:val="20"/>
                <w:szCs w:val="20"/>
                <w:color w:val="auto"/>
              </w:rPr>
            </w:pPr>
            <w:r>
              <w:rPr>
                <w:rFonts w:ascii="Arial" w:cs="Arial" w:eastAsia="Arial" w:hAnsi="Arial"/>
                <w:sz w:val="18"/>
                <w:szCs w:val="18"/>
                <w:color w:val="auto"/>
              </w:rPr>
              <w:t>ARTICLE 12 - MISCELLANEOUS</w:t>
            </w:r>
          </w:p>
        </w:tc>
      </w:tr>
      <w:tr>
        <w:trPr>
          <w:trHeight w:val="324"/>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w:t>
            </w:r>
          </w:p>
        </w:tc>
        <w:tc>
          <w:tcPr>
            <w:tcW w:w="6020" w:type="dxa"/>
            <w:vAlign w:val="bottom"/>
          </w:tcPr>
          <w:p>
            <w:pPr>
              <w:ind w:left="140"/>
              <w:spacing w:after="0"/>
              <w:rPr>
                <w:sz w:val="20"/>
                <w:szCs w:val="20"/>
                <w:color w:val="auto"/>
              </w:rPr>
            </w:pPr>
            <w:r>
              <w:rPr>
                <w:rFonts w:ascii="Arial" w:cs="Arial" w:eastAsia="Arial" w:hAnsi="Arial"/>
                <w:sz w:val="18"/>
                <w:szCs w:val="18"/>
                <w:color w:val="auto"/>
              </w:rPr>
              <w:t>Survival</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12.2</w:t>
            </w:r>
          </w:p>
        </w:tc>
        <w:tc>
          <w:tcPr>
            <w:tcW w:w="6020" w:type="dxa"/>
            <w:vAlign w:val="bottom"/>
          </w:tcPr>
          <w:p>
            <w:pPr>
              <w:ind w:left="140"/>
              <w:spacing w:after="0"/>
              <w:rPr>
                <w:sz w:val="20"/>
                <w:szCs w:val="20"/>
                <w:color w:val="auto"/>
              </w:rPr>
            </w:pPr>
            <w:r>
              <w:rPr>
                <w:rFonts w:ascii="Arial" w:cs="Arial" w:eastAsia="Arial" w:hAnsi="Arial"/>
                <w:sz w:val="18"/>
                <w:szCs w:val="18"/>
                <w:color w:val="auto"/>
              </w:rPr>
              <w:t>No Waivers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12.3</w:t>
            </w:r>
          </w:p>
        </w:tc>
        <w:tc>
          <w:tcPr>
            <w:tcW w:w="6020" w:type="dxa"/>
            <w:vAlign w:val="bottom"/>
          </w:tcPr>
          <w:p>
            <w:pPr>
              <w:ind w:left="140"/>
              <w:spacing w:after="0"/>
              <w:rPr>
                <w:sz w:val="20"/>
                <w:szCs w:val="20"/>
                <w:color w:val="auto"/>
              </w:rPr>
            </w:pPr>
            <w:r>
              <w:rPr>
                <w:rFonts w:ascii="Arial" w:cs="Arial" w:eastAsia="Arial" w:hAnsi="Arial"/>
                <w:sz w:val="18"/>
                <w:szCs w:val="18"/>
                <w:color w:val="auto"/>
              </w:rPr>
              <w:t>Notices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12.4</w:t>
            </w:r>
          </w:p>
        </w:tc>
        <w:tc>
          <w:tcPr>
            <w:tcW w:w="6020" w:type="dxa"/>
            <w:vAlign w:val="bottom"/>
          </w:tcPr>
          <w:p>
            <w:pPr>
              <w:ind w:left="140"/>
              <w:spacing w:after="0"/>
              <w:rPr>
                <w:sz w:val="20"/>
                <w:szCs w:val="20"/>
                <w:color w:val="auto"/>
              </w:rPr>
            </w:pPr>
            <w:r>
              <w:rPr>
                <w:rFonts w:ascii="Arial" w:cs="Arial" w:eastAsia="Arial" w:hAnsi="Arial"/>
                <w:sz w:val="18"/>
                <w:szCs w:val="18"/>
                <w:color w:val="auto"/>
              </w:rPr>
              <w:t>Severability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12.5</w:t>
            </w:r>
          </w:p>
        </w:tc>
        <w:tc>
          <w:tcPr>
            <w:tcW w:w="6020" w:type="dxa"/>
            <w:vAlign w:val="bottom"/>
          </w:tcPr>
          <w:p>
            <w:pPr>
              <w:ind w:left="140"/>
              <w:spacing w:after="0"/>
              <w:rPr>
                <w:sz w:val="20"/>
                <w:szCs w:val="20"/>
                <w:color w:val="auto"/>
              </w:rPr>
            </w:pPr>
            <w:r>
              <w:rPr>
                <w:rFonts w:ascii="Arial" w:cs="Arial" w:eastAsia="Arial" w:hAnsi="Arial"/>
                <w:sz w:val="18"/>
                <w:szCs w:val="18"/>
                <w:color w:val="auto"/>
              </w:rPr>
              <w:t>Headings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12.6</w:t>
            </w:r>
          </w:p>
        </w:tc>
        <w:tc>
          <w:tcPr>
            <w:tcW w:w="6020" w:type="dxa"/>
            <w:vAlign w:val="bottom"/>
          </w:tcPr>
          <w:p>
            <w:pPr>
              <w:ind w:left="140"/>
              <w:spacing w:after="0"/>
              <w:rPr>
                <w:sz w:val="20"/>
                <w:szCs w:val="20"/>
                <w:color w:val="auto"/>
              </w:rPr>
            </w:pPr>
            <w:r>
              <w:rPr>
                <w:rFonts w:ascii="Arial" w:cs="Arial" w:eastAsia="Arial" w:hAnsi="Arial"/>
                <w:sz w:val="18"/>
                <w:szCs w:val="18"/>
                <w:color w:val="auto"/>
              </w:rPr>
              <w:t>Confidentiality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12.7</w:t>
            </w:r>
          </w:p>
        </w:tc>
        <w:tc>
          <w:tcPr>
            <w:tcW w:w="6020" w:type="dxa"/>
            <w:vAlign w:val="bottom"/>
          </w:tcPr>
          <w:p>
            <w:pPr>
              <w:ind w:left="140"/>
              <w:spacing w:after="0"/>
              <w:rPr>
                <w:sz w:val="20"/>
                <w:szCs w:val="20"/>
                <w:color w:val="auto"/>
              </w:rPr>
            </w:pPr>
            <w:r>
              <w:rPr>
                <w:rFonts w:ascii="Arial" w:cs="Arial" w:eastAsia="Arial" w:hAnsi="Arial"/>
                <w:sz w:val="18"/>
                <w:szCs w:val="18"/>
                <w:color w:val="auto"/>
              </w:rPr>
              <w:t>Waiver of Consequential and Other Damages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12.8</w:t>
            </w:r>
          </w:p>
        </w:tc>
        <w:tc>
          <w:tcPr>
            <w:tcW w:w="6020" w:type="dxa"/>
            <w:vAlign w:val="bottom"/>
          </w:tcPr>
          <w:p>
            <w:pPr>
              <w:ind w:left="140"/>
              <w:spacing w:after="0"/>
              <w:rPr>
                <w:sz w:val="20"/>
                <w:szCs w:val="20"/>
                <w:color w:val="auto"/>
              </w:rPr>
            </w:pPr>
            <w:r>
              <w:rPr>
                <w:rFonts w:ascii="Arial" w:cs="Arial" w:eastAsia="Arial" w:hAnsi="Arial"/>
                <w:sz w:val="18"/>
                <w:szCs w:val="18"/>
                <w:color w:val="auto"/>
              </w:rPr>
              <w:t>GOVERNING LAW; SUBMISSION TO JURISDICTION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12.9</w:t>
            </w:r>
          </w:p>
        </w:tc>
        <w:tc>
          <w:tcPr>
            <w:tcW w:w="6020" w:type="dxa"/>
            <w:vAlign w:val="bottom"/>
          </w:tcPr>
          <w:p>
            <w:pPr>
              <w:ind w:left="140"/>
              <w:spacing w:after="0"/>
              <w:rPr>
                <w:sz w:val="20"/>
                <w:szCs w:val="20"/>
                <w:color w:val="auto"/>
              </w:rPr>
            </w:pPr>
            <w:r>
              <w:rPr>
                <w:rFonts w:ascii="Arial" w:cs="Arial" w:eastAsia="Arial" w:hAnsi="Arial"/>
                <w:sz w:val="18"/>
                <w:szCs w:val="18"/>
                <w:b w:val="1"/>
                <w:bCs w:val="1"/>
                <w:color w:val="auto"/>
              </w:rPr>
              <w:t>WAIVER OF JURY TRIAL</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12.10</w:t>
            </w:r>
          </w:p>
        </w:tc>
        <w:tc>
          <w:tcPr>
            <w:tcW w:w="6020" w:type="dxa"/>
            <w:vAlign w:val="bottom"/>
          </w:tcPr>
          <w:p>
            <w:pPr>
              <w:ind w:left="140"/>
              <w:spacing w:after="0"/>
              <w:rPr>
                <w:sz w:val="20"/>
                <w:szCs w:val="20"/>
                <w:color w:val="auto"/>
              </w:rPr>
            </w:pPr>
            <w:r>
              <w:rPr>
                <w:rFonts w:ascii="Arial" w:cs="Arial" w:eastAsia="Arial" w:hAnsi="Arial"/>
                <w:sz w:val="18"/>
                <w:szCs w:val="18"/>
                <w:color w:val="auto"/>
              </w:rPr>
              <w:t>Publication; Advertisement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12.11</w:t>
            </w:r>
          </w:p>
        </w:tc>
        <w:tc>
          <w:tcPr>
            <w:tcW w:w="6020" w:type="dxa"/>
            <w:vAlign w:val="bottom"/>
          </w:tcPr>
          <w:p>
            <w:pPr>
              <w:ind w:left="140"/>
              <w:spacing w:after="0"/>
              <w:rPr>
                <w:sz w:val="20"/>
                <w:szCs w:val="20"/>
                <w:color w:val="auto"/>
              </w:rPr>
            </w:pPr>
            <w:r>
              <w:rPr>
                <w:rFonts w:ascii="Arial" w:cs="Arial" w:eastAsia="Arial" w:hAnsi="Arial"/>
                <w:sz w:val="18"/>
                <w:szCs w:val="18"/>
                <w:color w:val="auto"/>
              </w:rPr>
              <w:t>Counterparts; Integration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12.12</w:t>
            </w:r>
          </w:p>
        </w:tc>
        <w:tc>
          <w:tcPr>
            <w:tcW w:w="6020" w:type="dxa"/>
            <w:vAlign w:val="bottom"/>
          </w:tcPr>
          <w:p>
            <w:pPr>
              <w:ind w:left="140"/>
              <w:spacing w:after="0"/>
              <w:rPr>
                <w:sz w:val="20"/>
                <w:szCs w:val="20"/>
                <w:color w:val="auto"/>
              </w:rPr>
            </w:pPr>
            <w:r>
              <w:rPr>
                <w:rFonts w:ascii="Arial" w:cs="Arial" w:eastAsia="Arial" w:hAnsi="Arial"/>
                <w:sz w:val="18"/>
                <w:szCs w:val="18"/>
                <w:color w:val="auto"/>
              </w:rPr>
              <w:t>No Strict Construction</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12.13</w:t>
            </w:r>
          </w:p>
        </w:tc>
        <w:tc>
          <w:tcPr>
            <w:tcW w:w="6020" w:type="dxa"/>
            <w:vAlign w:val="bottom"/>
          </w:tcPr>
          <w:p>
            <w:pPr>
              <w:ind w:left="140"/>
              <w:spacing w:after="0"/>
              <w:rPr>
                <w:sz w:val="20"/>
                <w:szCs w:val="20"/>
                <w:color w:val="auto"/>
              </w:rPr>
            </w:pPr>
            <w:r>
              <w:rPr>
                <w:rFonts w:ascii="Arial" w:cs="Arial" w:eastAsia="Arial" w:hAnsi="Arial"/>
                <w:sz w:val="18"/>
                <w:szCs w:val="18"/>
                <w:color w:val="auto"/>
              </w:rPr>
              <w:t>Lender Approvals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12.14</w:t>
            </w:r>
          </w:p>
        </w:tc>
        <w:tc>
          <w:tcPr>
            <w:tcW w:w="6020" w:type="dxa"/>
            <w:vAlign w:val="bottom"/>
          </w:tcPr>
          <w:p>
            <w:pPr>
              <w:ind w:left="140"/>
              <w:spacing w:after="0"/>
              <w:rPr>
                <w:sz w:val="20"/>
                <w:szCs w:val="20"/>
                <w:color w:val="auto"/>
              </w:rPr>
            </w:pPr>
            <w:r>
              <w:rPr>
                <w:rFonts w:ascii="Arial" w:cs="Arial" w:eastAsia="Arial" w:hAnsi="Arial"/>
                <w:sz w:val="18"/>
                <w:szCs w:val="18"/>
                <w:color w:val="auto"/>
              </w:rPr>
              <w:t>Expenses; Indemnity</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12.15</w:t>
            </w:r>
          </w:p>
        </w:tc>
        <w:tc>
          <w:tcPr>
            <w:tcW w:w="6020" w:type="dxa"/>
            <w:vAlign w:val="bottom"/>
          </w:tcPr>
          <w:p>
            <w:pPr>
              <w:ind w:left="140"/>
              <w:spacing w:after="0"/>
              <w:rPr>
                <w:sz w:val="20"/>
                <w:szCs w:val="20"/>
                <w:color w:val="auto"/>
              </w:rPr>
            </w:pPr>
            <w:r>
              <w:rPr>
                <w:rFonts w:ascii="Arial" w:cs="Arial" w:eastAsia="Arial" w:hAnsi="Arial"/>
                <w:sz w:val="18"/>
                <w:szCs w:val="18"/>
                <w:color w:val="auto"/>
              </w:rPr>
              <w:t>Reserved</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12.16</w:t>
            </w:r>
          </w:p>
        </w:tc>
        <w:tc>
          <w:tcPr>
            <w:tcW w:w="6020" w:type="dxa"/>
            <w:vAlign w:val="bottom"/>
          </w:tcPr>
          <w:p>
            <w:pPr>
              <w:ind w:left="140"/>
              <w:spacing w:after="0"/>
              <w:rPr>
                <w:sz w:val="20"/>
                <w:szCs w:val="20"/>
                <w:color w:val="auto"/>
              </w:rPr>
            </w:pPr>
            <w:r>
              <w:rPr>
                <w:rFonts w:ascii="Arial" w:cs="Arial" w:eastAsia="Arial" w:hAnsi="Arial"/>
                <w:sz w:val="18"/>
                <w:szCs w:val="18"/>
                <w:color w:val="auto"/>
              </w:rPr>
              <w:t>Reinstatement</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12.17</w:t>
            </w:r>
          </w:p>
        </w:tc>
        <w:tc>
          <w:tcPr>
            <w:tcW w:w="6020" w:type="dxa"/>
            <w:vAlign w:val="bottom"/>
          </w:tcPr>
          <w:p>
            <w:pPr>
              <w:ind w:left="140"/>
              <w:spacing w:after="0"/>
              <w:rPr>
                <w:sz w:val="20"/>
                <w:szCs w:val="20"/>
                <w:color w:val="auto"/>
              </w:rPr>
            </w:pPr>
            <w:r>
              <w:rPr>
                <w:rFonts w:ascii="Arial" w:cs="Arial" w:eastAsia="Arial" w:hAnsi="Arial"/>
                <w:sz w:val="18"/>
                <w:szCs w:val="18"/>
                <w:color w:val="auto"/>
              </w:rPr>
              <w:t>Successors and Assigns</w:t>
            </w:r>
          </w:p>
        </w:tc>
      </w:tr>
      <w:tr>
        <w:trPr>
          <w:trHeight w:val="297"/>
        </w:trPr>
        <w:tc>
          <w:tcPr>
            <w:tcW w:w="1800" w:type="dxa"/>
            <w:vAlign w:val="bottom"/>
          </w:tcPr>
          <w:p>
            <w:pPr>
              <w:jc w:val="right"/>
              <w:ind w:right="50"/>
              <w:spacing w:after="0"/>
              <w:rPr>
                <w:sz w:val="20"/>
                <w:szCs w:val="20"/>
                <w:color w:val="auto"/>
              </w:rPr>
            </w:pPr>
            <w:r>
              <w:rPr>
                <w:rFonts w:ascii="Arial" w:cs="Arial" w:eastAsia="Arial" w:hAnsi="Arial"/>
                <w:sz w:val="18"/>
                <w:szCs w:val="18"/>
                <w:color w:val="auto"/>
              </w:rPr>
              <w:t>Section 12.18</w:t>
            </w:r>
          </w:p>
        </w:tc>
        <w:tc>
          <w:tcPr>
            <w:tcW w:w="6020" w:type="dxa"/>
            <w:vAlign w:val="bottom"/>
          </w:tcPr>
          <w:p>
            <w:pPr>
              <w:ind w:left="140"/>
              <w:spacing w:after="0"/>
              <w:rPr>
                <w:sz w:val="20"/>
                <w:szCs w:val="20"/>
                <w:color w:val="auto"/>
              </w:rPr>
            </w:pPr>
            <w:r>
              <w:rPr>
                <w:rFonts w:ascii="Arial" w:cs="Arial" w:eastAsia="Arial" w:hAnsi="Arial"/>
                <w:sz w:val="18"/>
                <w:szCs w:val="18"/>
                <w:color w:val="auto"/>
              </w:rPr>
              <w:t>USA PATRIOT Act Notification</w:t>
            </w:r>
          </w:p>
        </w:tc>
      </w:tr>
    </w:tbl>
    <w:p>
      <w:pPr>
        <w:spacing w:after="0" w:line="200" w:lineRule="exact"/>
        <w:rPr>
          <w:sz w:val="20"/>
          <w:szCs w:val="20"/>
          <w:color w:val="auto"/>
        </w:rPr>
      </w:pPr>
    </w:p>
    <w:p>
      <w:pPr>
        <w:spacing w:after="0" w:line="332" w:lineRule="exact"/>
        <w:rPr>
          <w:sz w:val="20"/>
          <w:szCs w:val="20"/>
          <w:color w:val="auto"/>
        </w:rPr>
      </w:pPr>
    </w:p>
    <w:p>
      <w:pPr>
        <w:jc w:val="center"/>
        <w:ind w:left="960"/>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ectPr>
          <w:pgSz w:w="11900" w:h="16838" w:orient="portrait"/>
          <w:cols w:equalWidth="0" w:num="2">
            <w:col w:w="10380" w:space="720"/>
            <w:col w:w="180"/>
          </w:cols>
          <w:pgMar w:left="280" w:top="78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CREDIT AND SECURITY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CREDIT AND SECURITY AGREEMENT</w:t>
      </w:r>
      <w:r>
        <w:rPr>
          <w:rFonts w:ascii="Arial" w:cs="Arial" w:eastAsia="Arial" w:hAnsi="Arial"/>
          <w:sz w:val="17"/>
          <w:szCs w:val="17"/>
          <w:color w:val="auto"/>
        </w:rPr>
        <w:t xml:space="preserve"> (as the same may be amended, supplemented, restated or otherwise modified from time to time, the “</w:t>
      </w:r>
      <w:r>
        <w:rPr>
          <w:rFonts w:ascii="Arial" w:cs="Arial" w:eastAsia="Arial" w:hAnsi="Arial"/>
          <w:sz w:val="17"/>
          <w:szCs w:val="17"/>
          <w:b w:val="1"/>
          <w:bCs w:val="1"/>
          <w:color w:val="auto"/>
        </w:rPr>
        <w:t>Agreement</w:t>
      </w:r>
      <w:r>
        <w:rPr>
          <w:rFonts w:ascii="Arial" w:cs="Arial" w:eastAsia="Arial" w:hAnsi="Arial"/>
          <w:sz w:val="17"/>
          <w:szCs w:val="17"/>
          <w:color w:val="auto"/>
        </w:rPr>
        <w:t xml:space="preserve">”) is dated as of May 5, 2017 by and among </w:t>
      </w:r>
      <w:r>
        <w:rPr>
          <w:rFonts w:ascii="Arial" w:cs="Arial" w:eastAsia="Arial" w:hAnsi="Arial"/>
          <w:sz w:val="17"/>
          <w:szCs w:val="17"/>
          <w:b w:val="1"/>
          <w:bCs w:val="1"/>
          <w:color w:val="auto"/>
        </w:rPr>
        <w:t>PTC THERAPEUTICS, INC.</w:t>
      </w:r>
      <w:r>
        <w:rPr>
          <w:rFonts w:ascii="Arial" w:cs="Arial" w:eastAsia="Arial" w:hAnsi="Arial"/>
          <w:sz w:val="17"/>
          <w:szCs w:val="17"/>
          <w:color w:val="auto"/>
        </w:rPr>
        <w:t>, a Delaware corporation (“</w:t>
      </w:r>
      <w:r>
        <w:rPr>
          <w:rFonts w:ascii="Arial" w:cs="Arial" w:eastAsia="Arial" w:hAnsi="Arial"/>
          <w:sz w:val="17"/>
          <w:szCs w:val="17"/>
          <w:b w:val="1"/>
          <w:bCs w:val="1"/>
          <w:color w:val="auto"/>
        </w:rPr>
        <w:t>PTC</w:t>
      </w:r>
      <w:r>
        <w:rPr>
          <w:rFonts w:ascii="Arial" w:cs="Arial" w:eastAsia="Arial" w:hAnsi="Arial"/>
          <w:sz w:val="17"/>
          <w:szCs w:val="17"/>
          <w:color w:val="auto"/>
        </w:rPr>
        <w:t>”), and any additional borrower that may hereafter be added to this Agreement (individually as a “</w:t>
      </w:r>
      <w:r>
        <w:rPr>
          <w:rFonts w:ascii="Arial" w:cs="Arial" w:eastAsia="Arial" w:hAnsi="Arial"/>
          <w:sz w:val="17"/>
          <w:szCs w:val="17"/>
          <w:b w:val="1"/>
          <w:bCs w:val="1"/>
          <w:color w:val="auto"/>
        </w:rPr>
        <w:t>Borrower</w:t>
      </w:r>
      <w:r>
        <w:rPr>
          <w:rFonts w:ascii="Arial" w:cs="Arial" w:eastAsia="Arial" w:hAnsi="Arial"/>
          <w:sz w:val="17"/>
          <w:szCs w:val="17"/>
          <w:color w:val="auto"/>
        </w:rPr>
        <w:t>”, and collectively with any entities that become party hereto as Borrower and each of their successors and permitted assigns, the “</w:t>
      </w:r>
      <w:r>
        <w:rPr>
          <w:rFonts w:ascii="Arial" w:cs="Arial" w:eastAsia="Arial" w:hAnsi="Arial"/>
          <w:sz w:val="17"/>
          <w:szCs w:val="17"/>
          <w:b w:val="1"/>
          <w:bCs w:val="1"/>
          <w:color w:val="auto"/>
        </w:rPr>
        <w:t>Borrowers</w:t>
      </w:r>
      <w:r>
        <w:rPr>
          <w:rFonts w:ascii="Arial" w:cs="Arial" w:eastAsia="Arial" w:hAnsi="Arial"/>
          <w:sz w:val="17"/>
          <w:szCs w:val="17"/>
          <w:color w:val="auto"/>
        </w:rPr>
        <w:t xml:space="preserve">”), </w:t>
      </w:r>
      <w:r>
        <w:rPr>
          <w:rFonts w:ascii="Arial" w:cs="Arial" w:eastAsia="Arial" w:hAnsi="Arial"/>
          <w:sz w:val="17"/>
          <w:szCs w:val="17"/>
          <w:b w:val="1"/>
          <w:bCs w:val="1"/>
          <w:color w:val="auto"/>
        </w:rPr>
        <w:t>MIDCAP FINANCIAL TRUST,</w:t>
      </w:r>
      <w:r>
        <w:rPr>
          <w:rFonts w:ascii="Arial" w:cs="Arial" w:eastAsia="Arial" w:hAnsi="Arial"/>
          <w:sz w:val="17"/>
          <w:szCs w:val="17"/>
          <w:color w:val="auto"/>
        </w:rPr>
        <w:t xml:space="preserve"> a Delaware statutory trust, individually as a Lender, and as Agent, and the financial institutions or other entities from time to time parties hereto, each as a Lender.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Borrowers have requested that Lenders make available to Borrowers the financing facilities as described herein. Lenders are willing to extend such credit to Borrowers under the terms and conditions herein set forth.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agreements, provisions and covenants herein contained, Borrowers, Lenders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Agent agree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DEFINITIONS</w:t>
      </w:r>
    </w:p>
    <w:p>
      <w:pPr>
        <w:spacing w:after="0" w:line="22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color w:val="auto"/>
        </w:rPr>
        <w:t>Certain Defined Terms. The following terms have the following meanings:</w:t>
      </w:r>
    </w:p>
    <w:p>
      <w:pPr>
        <w:spacing w:after="0" w:line="22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2022 Convertible Notes</w:t>
      </w:r>
      <w:r>
        <w:rPr>
          <w:rFonts w:ascii="Arial" w:cs="Arial" w:eastAsia="Arial" w:hAnsi="Arial"/>
          <w:sz w:val="17"/>
          <w:szCs w:val="17"/>
          <w:color w:val="auto"/>
        </w:rPr>
        <w:t>” means those certain 3.00% senior unsecured notes due on August 15, 2022, issued by PTC and governed by the terms of an indenture, dated as of August 14, 2015, between PTC and U.S. Bank National Association, as trustee (the “</w:t>
      </w:r>
      <w:r>
        <w:rPr>
          <w:rFonts w:ascii="Arial" w:cs="Arial" w:eastAsia="Arial" w:hAnsi="Arial"/>
          <w:sz w:val="17"/>
          <w:szCs w:val="17"/>
          <w:b w:val="1"/>
          <w:bCs w:val="1"/>
          <w:color w:val="auto"/>
        </w:rPr>
        <w:t>2022 Notes Indenture</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2022 Convertible Note Documents</w:t>
      </w:r>
      <w:r>
        <w:rPr>
          <w:rFonts w:ascii="Arial" w:cs="Arial" w:eastAsia="Arial" w:hAnsi="Arial"/>
          <w:sz w:val="18"/>
          <w:szCs w:val="18"/>
          <w:color w:val="auto"/>
        </w:rPr>
        <w:t>” means the 2022 Convertible Notes, the 2022 Notes Indenture and each other material document or agreement from time to entered into in connection with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Acceleration Event</w:t>
      </w:r>
      <w:r>
        <w:rPr>
          <w:rFonts w:ascii="Arial" w:cs="Arial" w:eastAsia="Arial" w:hAnsi="Arial"/>
          <w:sz w:val="18"/>
          <w:szCs w:val="18"/>
          <w:color w:val="auto"/>
        </w:rPr>
        <w:t>” means the occurrence of an Event of Default (a) in respect of which Agent has declared all or any portion of the Obligations to be immediately due and payable pursuant to Section 10.2 and/or (b) pursuant to either Section 10.1(e) and/or Section 10.1(f).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means “account debtor”, as defined in Article 9 of the UCC, and any other obligor in respect of an Account.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Accounts</w:t>
      </w:r>
      <w:r>
        <w:rPr>
          <w:rFonts w:ascii="Arial" w:cs="Arial" w:eastAsia="Arial" w:hAnsi="Arial"/>
          <w:sz w:val="17"/>
          <w:szCs w:val="17"/>
          <w:color w:val="auto"/>
        </w:rPr>
        <w:t>” means, collectively, (a) any right to payment of a monetary obligation, whether or not earned by performance, (b) without duplication, any “account” (as defined in the UCC), any accounts receivable (whether in the form of payments for services rendered or goods sold, rents, license fees or otherwise), any “health-care-insurance receivables” (as defined in the UCC), any “payment intangibles” (as defined in the UCC) and all other rights to payment and/or reimbursement of every kind and description, whether or not earned by performance, (c) all accounts, “general intangibles” (as defined in the UCC), Intellectual Property, rights, remedies, Guarantees, “supporting obligations” (as defined in the UCC), “letter-of-credit rights” (as defined in the UCC) and security interests in respect of the foregoing, all rights of enforcement and collection, all books and records evidencing or related to the foregoing, and all rights under the Financing Documents in respect of the foregoing, (d) all information and data</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compiled or derived by any Borrower or to which any Borrower is entitled in respect of or related to the foregoing, and (e) all proceeds of any of the foregoing.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Titled Agents</w:t>
      </w:r>
      <w:r>
        <w:rPr>
          <w:rFonts w:ascii="Arial" w:cs="Arial" w:eastAsia="Arial" w:hAnsi="Arial"/>
          <w:sz w:val="18"/>
          <w:szCs w:val="18"/>
          <w:color w:val="auto"/>
        </w:rPr>
        <w:t>” has the meaning set forth in Section 11.15.</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 any Person that directly or indirectly controls such Person, (b) any Person which is controlled by or is under common control with such controlling Person, and (c) each of such Person’s (other than, with respect to any Lender, any Lender’s) officers or directors (or Persons functioning in substantially similar roles) and the spouses, parents, descendants and siblings of such officers, directors or other Persons. As used in this definition, the term “control” of a Person means the possession, directly or indirectly, of the power to vote five percent (5%) or more of any class of voting securities of such Person or to direct or cause the direction of the management or policies of a Person, whether through the ownership of voting securities, by contract or otherwise.</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MCF, in its capacity as administrative agent for itself and for Lenders hereunder, as such capacity is established in, and subject to the provisions of, Article 11, and the successors and assigns of MCF in such capacity.</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Anti-Terrorism Laws</w:t>
      </w:r>
      <w:r>
        <w:rPr>
          <w:rFonts w:ascii="Arial" w:cs="Arial" w:eastAsia="Arial" w:hAnsi="Arial"/>
          <w:sz w:val="16"/>
          <w:szCs w:val="16"/>
          <w:color w:val="auto"/>
        </w:rPr>
        <w:t>” means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 six and fifteen one-hundredths percent (6.15%).</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Disposition</w:t>
      </w:r>
      <w:r>
        <w:rPr>
          <w:rFonts w:ascii="Arial" w:cs="Arial" w:eastAsia="Arial" w:hAnsi="Arial"/>
          <w:sz w:val="18"/>
          <w:szCs w:val="18"/>
          <w:color w:val="auto"/>
        </w:rPr>
        <w:t>” means any sale, lease, license, transfer, assignment or other consensual disposition by any Person of any asset, or any of its rights related thereto, of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Title 11 of the United States Code entitled “Bankruptcy”, as the same may be amended, modified or supplemented from time to time, and any successor statute thereto.</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LIBOR Rate</w:t>
      </w:r>
      <w:r>
        <w:rPr>
          <w:rFonts w:ascii="Arial" w:cs="Arial" w:eastAsia="Arial" w:hAnsi="Arial"/>
          <w:sz w:val="18"/>
          <w:szCs w:val="18"/>
          <w:color w:val="auto"/>
        </w:rPr>
        <w:t>” means, for each Interest Period, the rate per annum, determined by Agent in accordance with its customary procedures, and utilizing such electronic or other quotation sources as it considers appropriate (rounded upwards, if necessary, to the next 1/100%), to be the rate at which Dollar deposits (for delivery on the first day of such Interest Period or, if such day is not a Business Day on the preceding Business Day) in the amount of $1,000,000 are offered to major banks in the London interbank market on or about 11:00 a.m. (Eastern time) two (2) Business Days prior to the commencement of such Interest Period, for a term comparable to such Interest Period, which determination shall be conclusive in the absence of manifest error.</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a per annum rate of interest equal to the greater of (a) one percent (1.00%) per annum and (b) the rate of interest announced, from time to time, within Wells Fargo Bank, National Association (“</w:t>
      </w:r>
      <w:r>
        <w:rPr>
          <w:rFonts w:ascii="Arial" w:cs="Arial" w:eastAsia="Arial" w:hAnsi="Arial"/>
          <w:sz w:val="18"/>
          <w:szCs w:val="18"/>
          <w:b w:val="1"/>
          <w:bCs w:val="1"/>
          <w:color w:val="auto"/>
        </w:rPr>
        <w:t>Wells Fargo</w:t>
      </w:r>
      <w:r>
        <w:rPr>
          <w:rFonts w:ascii="Arial" w:cs="Arial" w:eastAsia="Arial" w:hAnsi="Arial"/>
          <w:sz w:val="18"/>
          <w:szCs w:val="18"/>
          <w:color w:val="auto"/>
        </w:rPr>
        <w:t xml:space="preserve">”) at its principal office in San Francisco as its “prime rate,”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Agent may, upon prior written notice to Borrower, choose a reasonably comparable index or source to use as the basis for the Base Rate.</w:t>
      </w:r>
    </w:p>
    <w:p>
      <w:pPr>
        <w:spacing w:after="0" w:line="18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means any Person: (a) listed in the annex to, or is otherwise subject to the provisions of, Executive Order No. 13224, (b) owned or controlled by, or acting for or on behalf of, any Person that is listed in the annex to, or is otherwise subject to the provisions of, Executive Order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No. 13224, (c) with which any Lender is prohibited from dealing or otherwise engaging in any transaction by any Anti-Terrorism Law, (d) that commits, threatens or conspires to commit or supports “terrorism” as defined in Executive Order No. 13224, or (e) that is named a “specially designated national” or “blocked person” on the most current list published by OFAC or other similar list or is named as a “listed person” or “listed entity” on other lists made under any Anti-Terrorism Law.</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Books and Records Location</w:t>
      </w:r>
      <w:r>
        <w:rPr>
          <w:rFonts w:ascii="Arial" w:cs="Arial" w:eastAsia="Arial" w:hAnsi="Arial"/>
          <w:sz w:val="18"/>
          <w:szCs w:val="18"/>
          <w:color w:val="auto"/>
        </w:rPr>
        <w:t>” the Borrower’s principal place of business where all of the Borrower’s books and records related to the Collateral are located, which, as of the Closing Date, is Borrower’s headquarters located, collectively, at 100, 200 and 250 Corporate Court, Middlesex Business Center, South Plainfield, New Jersey.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and “</w:t>
      </w:r>
      <w:r>
        <w:rPr>
          <w:rFonts w:ascii="Arial" w:cs="Arial" w:eastAsia="Arial" w:hAnsi="Arial"/>
          <w:sz w:val="18"/>
          <w:szCs w:val="18"/>
          <w:b w:val="1"/>
          <w:bCs w:val="1"/>
          <w:color w:val="auto"/>
        </w:rPr>
        <w:t>Borrowers</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Representative</w:t>
      </w:r>
      <w:r>
        <w:rPr>
          <w:rFonts w:ascii="Arial" w:cs="Arial" w:eastAsia="Arial" w:hAnsi="Arial"/>
          <w:sz w:val="18"/>
          <w:szCs w:val="18"/>
          <w:color w:val="auto"/>
        </w:rPr>
        <w:t>” means PTC, in its capacity as Borrower Representative pursuant to the provisions of Section 2.9, or any successor Borrower Representative selected by Borrowers and approved by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either the New York Stock Exchange is closed, or on which commercial banks in Washington, DC and New York City are authorized by law to close.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CERCLA</w:t>
      </w:r>
      <w:r>
        <w:rPr>
          <w:rFonts w:ascii="Arial" w:cs="Arial" w:eastAsia="Arial" w:hAnsi="Arial"/>
          <w:sz w:val="18"/>
          <w:szCs w:val="18"/>
          <w:color w:val="auto"/>
        </w:rPr>
        <w:t xml:space="preserve">” means the Comprehensive Environmental Response, Compensation and Liability Act of 1980, 42 U.S.C.A. § 9601 </w:t>
      </w:r>
      <w:r>
        <w:rPr>
          <w:rFonts w:ascii="Arial" w:cs="Arial" w:eastAsia="Arial" w:hAnsi="Arial"/>
          <w:sz w:val="18"/>
          <w:szCs w:val="18"/>
          <w:i w:val="1"/>
          <w:iCs w:val="1"/>
          <w:color w:val="auto"/>
        </w:rPr>
        <w:t>et seq</w:t>
      </w:r>
      <w:r>
        <w:rPr>
          <w:rFonts w:ascii="Arial" w:cs="Arial" w:eastAsia="Arial" w:hAnsi="Arial"/>
          <w:sz w:val="18"/>
          <w:szCs w:val="18"/>
          <w:color w:val="auto"/>
        </w:rPr>
        <w:t>., as the same may be amended from time to time.</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any of the following events: (a) any Person or two or more Persons acting in concert shall have acquired beneficial ownership, directly or indirectly, of, or shall have acquired by contract or otherwise, or shall have entered into a contract or arrangement that, upon consummation, will result in its or their acquisition of or control over, voting stock of PTC (or other securities convertible into such voting stock) representing fifty percent (50%) or more of the combined voting power of all voting stock of PTC or (b) except to the extent permitted by Section 5.6, PTC ceases to own, directly or indirectly, 100% of the capital stock of any of its Subsidiaries (or such lesser portion as may be owned by Borrower as of the date hereof); or</w:t>
      </w:r>
    </w:p>
    <w:p>
      <w:pPr>
        <w:spacing w:after="0" w:line="2" w:lineRule="exact"/>
        <w:rPr>
          <w:sz w:val="20"/>
          <w:szCs w:val="20"/>
          <w:color w:val="auto"/>
        </w:rPr>
      </w:pPr>
    </w:p>
    <w:p>
      <w:pPr>
        <w:jc w:val="both"/>
        <w:ind w:firstLine="8"/>
        <w:spacing w:after="0" w:line="277" w:lineRule="auto"/>
        <w:tabs>
          <w:tab w:leader="none" w:pos="263"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occurrence of a “Change of Control”, “Fundamental Change”, “Change in Control”, or terms of similar import under any document or instrument governing or relating to Debt of or equity in such Person, including without limitation, the 2022 Convertible Note Documents. As used herein, “beneficial ownership” shall have the meaning provided in Rule 13d-3 of the Securities and Exchange Commission under the Securities Exchange Act of 1934.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Chattel Paper</w:t>
      </w:r>
      <w:r>
        <w:rPr>
          <w:rFonts w:ascii="Arial" w:cs="Arial" w:eastAsia="Arial" w:hAnsi="Arial"/>
          <w:sz w:val="18"/>
          <w:szCs w:val="18"/>
          <w:color w:val="auto"/>
        </w:rPr>
        <w:t>” means “chattel paper” as defined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of this Agreement.</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Intercompany Agreements</w:t>
      </w:r>
      <w:r>
        <w:rPr>
          <w:rFonts w:ascii="Arial" w:cs="Arial" w:eastAsia="Arial" w:hAnsi="Arial"/>
          <w:sz w:val="18"/>
          <w:szCs w:val="18"/>
          <w:color w:val="auto"/>
        </w:rPr>
        <w:t xml:space="preserve">” means agreements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as the same are in effect on the Closing Date and without giving effect to any amendments other than those expressly permitted by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all property, now existing or hereafter acquired, mortgaged or pledged to, or purported to be subjected to a Lien in favor of, Agent, for the benefit of Agent and Lenders, pursuant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 xml:space="preserve">this Agreement and the Security Documents, including, without limitation, all of the property described in </w:t>
      </w:r>
      <w:r>
        <w:rPr>
          <w:rFonts w:ascii="Arial" w:cs="Arial" w:eastAsia="Arial" w:hAnsi="Arial"/>
          <w:sz w:val="18"/>
          <w:szCs w:val="18"/>
          <w:u w:val="single" w:color="auto"/>
          <w:color w:val="auto"/>
        </w:rPr>
        <w:t>Schedule 9.1</w:t>
      </w:r>
      <w:r>
        <w:rPr>
          <w:rFonts w:ascii="Arial" w:cs="Arial" w:eastAsia="Arial" w:hAnsi="Arial"/>
          <w:sz w:val="18"/>
          <w:szCs w:val="18"/>
          <w:color w:val="auto"/>
        </w:rPr>
        <w:t xml:space="preserve"> hereto.</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Annex</w:t>
      </w:r>
      <w:r>
        <w:rPr>
          <w:rFonts w:ascii="Arial" w:cs="Arial" w:eastAsia="Arial" w:hAnsi="Arial"/>
          <w:sz w:val="18"/>
          <w:szCs w:val="18"/>
          <w:color w:val="auto"/>
        </w:rPr>
        <w:t xml:space="preserve">” means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certificate, duly executed by a Responsible Officer of Borrower Representative, appropriately completed and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Subsidiary</w:t>
      </w:r>
      <w:r>
        <w:rPr>
          <w:rFonts w:ascii="Arial" w:cs="Arial" w:eastAsia="Arial" w:hAnsi="Arial"/>
          <w:sz w:val="17"/>
          <w:szCs w:val="17"/>
          <w:color w:val="auto"/>
        </w:rPr>
        <w:t>” means, at any date, any Subsidiary the accounts of which would be consolidated with those of “parent” Borrower (or any other Person, as the context may require hereunder) in its consolidated financial statements if such statements were prepared as of such date.</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means, with respect to any Person, any direct or indirect liability of such Person: (a) with respect to any Debt of another Person (a “</w:t>
      </w:r>
      <w:r>
        <w:rPr>
          <w:rFonts w:ascii="Arial" w:cs="Arial" w:eastAsia="Arial" w:hAnsi="Arial"/>
          <w:sz w:val="16"/>
          <w:szCs w:val="16"/>
          <w:b w:val="1"/>
          <w:bCs w:val="1"/>
          <w:color w:val="auto"/>
        </w:rPr>
        <w:t>Third Party Obligation</w:t>
      </w:r>
      <w:r>
        <w:rPr>
          <w:rFonts w:ascii="Arial" w:cs="Arial" w:eastAsia="Arial" w:hAnsi="Arial"/>
          <w:sz w:val="16"/>
          <w:szCs w:val="16"/>
          <w:color w:val="auto"/>
        </w:rPr>
        <w:t>”) if the purpose or intent of such Person incurring such liability, or the effect thereof, is to provide assurance to the obligee of such Third Party Obligation that such Third Party Obligation will be paid or discharged, or that any agreement relating thereto will be complied with, or that any holder of such Third Party Obligation will be protected, in whole or in part, against loss with respect thereto; (b) with respect to any undrawn portion of any letter of credit issued for the account of such Person or as to which such Person is otherwise liable for the reimbursement of any drawing;</w:t>
      </w:r>
    </w:p>
    <w:p>
      <w:pPr>
        <w:spacing w:after="0" w:line="2" w:lineRule="exact"/>
        <w:rPr>
          <w:sz w:val="20"/>
          <w:szCs w:val="20"/>
          <w:color w:val="auto"/>
        </w:rPr>
      </w:pPr>
    </w:p>
    <w:p>
      <w:pPr>
        <w:jc w:val="both"/>
        <w:ind w:firstLine="8"/>
        <w:spacing w:after="0" w:line="252"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any Swap Contract, to the extent not yet due and payable; (d) to make take-or-pay or similar payments if required regardless of nonperformance by any other party or parties to an agreement; or (e) for any obligations of another Person pursuant to any Guarantee or pursuant to any agreement to purchase, repurchase or otherwise acquire any obligation or any property constituting security therefor, to provide funds for the payment or discharge of such obligation or to preserve the solvency, financial condition or level of income of another Person. The amount of any Contingent Obligation shall be equal to the amount of the obligation so Guaranteed or otherwise supported or, if not a fixed and determinable amount, the maximum amount so Guaranteed or otherwise supported.</w:t>
      </w:r>
    </w:p>
    <w:p>
      <w:pPr>
        <w:spacing w:after="0" w:line="19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Group</w:t>
      </w:r>
      <w:r>
        <w:rPr>
          <w:rFonts w:ascii="Arial" w:cs="Arial" w:eastAsia="Arial" w:hAnsi="Arial"/>
          <w:sz w:val="18"/>
          <w:szCs w:val="18"/>
          <w:color w:val="auto"/>
        </w:rPr>
        <w:t>” means all members of any group of corporations and all members of a group of trades or businesses (whether or not incorporated) under common control which, together with any Borrower, are treated as a single employer under Section 414(b), (c), (m) or (o) of the Code or Section 4001(b) of ERISA.</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Correction</w:t>
      </w:r>
      <w:r>
        <w:rPr>
          <w:rFonts w:ascii="Arial" w:cs="Arial" w:eastAsia="Arial" w:hAnsi="Arial"/>
          <w:sz w:val="18"/>
          <w:szCs w:val="18"/>
          <w:color w:val="auto"/>
        </w:rPr>
        <w:t>” means repair, modification, adjustment, relabeling, destruction or inspection (including patient monitoring) (other than routine monitoring and monitoring required under applicable Law) of a product without its physical removal to some other location.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Exposure</w:t>
      </w:r>
      <w:r>
        <w:rPr>
          <w:rFonts w:ascii="Arial" w:cs="Arial" w:eastAsia="Arial" w:hAnsi="Arial"/>
          <w:sz w:val="18"/>
          <w:szCs w:val="18"/>
          <w:color w:val="auto"/>
        </w:rPr>
        <w:t xml:space="preserve">” means, at any time, any portion of the Term Loan Commitments and of any other Obligations that remains outstanding;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no Credit Exposure shall be deemed to exist solely due to the existence of contingent indemnification liability, absent the assertion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 claim, or the known existence of a claim reasonably likely to be asserted, with respect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(a) each Borrower, and (b) each Guarantor.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w:t>
      </w:r>
      <w:r>
        <w:rPr>
          <w:rFonts w:ascii="Arial" w:cs="Arial" w:eastAsia="Arial" w:hAnsi="Arial"/>
          <w:sz w:val="18"/>
          <w:szCs w:val="18"/>
          <w:color w:val="auto"/>
        </w:rPr>
        <w:t>” means the Drug Enforcement Administration of the United States of America, any comparable state or local Governmental Authority, any comparable Governmental Authority in any non-United States jurisdiction, and any successor agency of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of a Person means at any date, without duplication, (a) all obligations of such Person for borrowed money, (b) all obligations of such Person evidenced by bonds, debentures, notes or other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4" w:name="page15"/>
    <w:bookmarkEnd w:id="14"/>
    <w:p>
      <w:pPr>
        <w:jc w:val="both"/>
        <w:spacing w:after="0" w:line="284" w:lineRule="auto"/>
        <w:rPr>
          <w:sz w:val="20"/>
          <w:szCs w:val="20"/>
          <w:color w:val="auto"/>
        </w:rPr>
      </w:pPr>
      <w:r>
        <w:rPr>
          <w:rFonts w:ascii="Arial" w:cs="Arial" w:eastAsia="Arial" w:hAnsi="Arial"/>
          <w:sz w:val="16"/>
          <w:szCs w:val="16"/>
          <w:color w:val="auto"/>
        </w:rPr>
        <w:t>similar instruments, (c) all obligations of such Person to pay the deferred purchase price of property or services, except trade accounts payable arising in the Ordinary Course of Business and not more than ninety (90) days past due or that are subject to a Permitted Contest, (d) all capital leases of such Person, (e) all non-contingent obligations of such Person to reimburse any bank or other Person in respect of amounts paid under a letter of credit, banker’s acceptance or similar instrument, (f) all equity securities of such Person subject to repurchase or redemption other than at the sole option of such Person, (g) all obligations secured by a Lien on any asset of such Person, whether or not such obligation is otherwise an obligation of such Person, (h) “earnouts”, purchase price adjustments, profit sharing arrangements, deferred purchase money amounts and similar payment obligations or continuing obligations of any nature of such Person arising out of purchase and sale contracts, but in each case solely to the extent carried on the balance sheet as a liability in accordance with GAAP, (i) all Debt of others Guaranteed by such Person, (j) off-balance sheet liabilities and/or Pension Plan or Multiemployer Plan liabilities of such Person,</w:t>
      </w:r>
    </w:p>
    <w:p>
      <w:pPr>
        <w:spacing w:after="0" w:line="1" w:lineRule="exact"/>
        <w:rPr>
          <w:sz w:val="20"/>
          <w:szCs w:val="20"/>
          <w:color w:val="auto"/>
        </w:rPr>
      </w:pPr>
    </w:p>
    <w:p>
      <w:pPr>
        <w:jc w:val="both"/>
        <w:ind w:firstLine="8"/>
        <w:spacing w:after="0" w:line="255" w:lineRule="auto"/>
        <w:tabs>
          <w:tab w:leader="none" w:pos="276" w:val="left"/>
        </w:tabs>
        <w:numPr>
          <w:ilvl w:val="0"/>
          <w:numId w:val="9"/>
        </w:numPr>
        <w:rPr>
          <w:rFonts w:ascii="Arial" w:cs="Arial" w:eastAsia="Arial" w:hAnsi="Arial"/>
          <w:sz w:val="18"/>
          <w:szCs w:val="18"/>
          <w:color w:val="auto"/>
        </w:rPr>
      </w:pPr>
      <w:r>
        <w:rPr>
          <w:rFonts w:ascii="Arial" w:cs="Arial" w:eastAsia="Arial" w:hAnsi="Arial"/>
          <w:sz w:val="18"/>
          <w:szCs w:val="18"/>
          <w:color w:val="auto"/>
        </w:rPr>
        <w:t>obligations arising under non-compete agreements, and (l) obligations arising under bonus, deferred compensation, incentive compensation or similar arrangements, other than those arising in the Ordinary Course of Business. Without duplication of any of the foregoing, Debt of Borrowers shall include any and all Loans.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condition or event which with the giving of notice or lapse of time or both would, unless cured or waived, become an Event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Default.</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Defined Period</w:t>
      </w:r>
      <w:r>
        <w:rPr>
          <w:rFonts w:ascii="Arial" w:cs="Arial" w:eastAsia="Arial" w:hAnsi="Arial"/>
          <w:sz w:val="18"/>
          <w:szCs w:val="18"/>
          <w:color w:val="auto"/>
        </w:rPr>
        <w:t>” means for any given calendar month or date of determination, the twelve (12) month period ending on the last day of such calendar month or if such date of determination is not the last day of a calendar month, the twelve (12) month period immediately preceding any such date of determination.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“deposit account” (as defined in Article 9 of the UCC), an investment account, or other account in which funds are held or invested for credit to or for the benefit of any Borrower.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 Control Agreement</w:t>
      </w:r>
      <w:r>
        <w:rPr>
          <w:rFonts w:ascii="Arial" w:cs="Arial" w:eastAsia="Arial" w:hAnsi="Arial"/>
          <w:sz w:val="16"/>
          <w:szCs w:val="16"/>
          <w:color w:val="auto"/>
        </w:rPr>
        <w:t>” means an agreement, in form and substance reasonably satisfactory to Agent, among Agent, any Borrower and each financial institution in which such Borrower maintains a Deposit Account, which agreement provides that (a) such financial institution shall comply with instructions originated by Agent directing disposition of the funds in such Deposit Account without further consent by the applicable Borrower, and</w:t>
      </w:r>
    </w:p>
    <w:p>
      <w:pPr>
        <w:spacing w:after="0" w:line="2" w:lineRule="exact"/>
        <w:rPr>
          <w:sz w:val="20"/>
          <w:szCs w:val="20"/>
          <w:color w:val="auto"/>
        </w:rPr>
      </w:pPr>
    </w:p>
    <w:p>
      <w:pPr>
        <w:jc w:val="both"/>
        <w:ind w:firstLine="8"/>
        <w:spacing w:after="0" w:line="255" w:lineRule="auto"/>
        <w:tabs>
          <w:tab w:leader="none" w:pos="2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financial institution shall agree that it shall have no Lien on, or right of setoff or recoupment against, such Deposit Account or the contents thereof, other than in respect of usual and customary service fees and returned items for which Agent has been given value, in each such case expressly consented to by Agent, and containing such other terms and conditions as Agent may require.</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w:t>
      </w:r>
      <w:r>
        <w:rPr>
          <w:rFonts w:ascii="Arial" w:cs="Arial" w:eastAsia="Arial" w:hAnsi="Arial"/>
          <w:sz w:val="16"/>
          <w:szCs w:val="16"/>
          <w:color w:val="auto"/>
        </w:rPr>
        <w:t>” means as to any Person (a) any dividend or other distribution (whether in cash, securities or other property) on any equity interest in such Person (except those payable solely in its equity interests of the same class), (b) any payment by such Person on account of (i) the purchase, redemption, retirement, defeasance, surrender, cancellation, termination or acquisition of any equity interests in such Person or any claim respecting the purchase or sale of any equity interest in such Person, or (ii) any option, warrant or other right to acquire any equity interests in such Person, (c) any management fees, salaries or other fees or compensation to any Person holding an equity interest in a Borrower or a Subsidiary of a Borrower (other than reasonable and customary</w:t>
      </w:r>
    </w:p>
    <w:p>
      <w:pPr>
        <w:spacing w:after="0" w:line="2" w:lineRule="exact"/>
        <w:rPr>
          <w:sz w:val="20"/>
          <w:szCs w:val="20"/>
          <w:color w:val="auto"/>
        </w:rPr>
      </w:pPr>
    </w:p>
    <w:p>
      <w:pPr>
        <w:jc w:val="both"/>
        <w:ind w:firstLine="8"/>
        <w:spacing w:after="0" w:line="277" w:lineRule="auto"/>
        <w:tabs>
          <w:tab w:leader="none" w:pos="2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payments of salaries to individuals, (ii) directors fees, and (iii) advances and reimbursements to employees or directors, all in the Ordinary Course of Business), an Affiliate of a Borrower or an Affiliate of any Subsidiary of a Borrower, (d) any lease or rental payments to an Affiliate or Subsidiary of a Borrower, or (e) repayments of or debt service on loans or other indebtedness held by any Person holding an equity interest in a Borrower or 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Subsidiary of a Borrower, an Affiliate of a Borrower or an Affiliate of any Subsidiary of a Borrower unless permitted under and made pursuant to a Subordination Agreement applicable to such loans or other indebtedness.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Drug Application</w:t>
      </w:r>
      <w:r>
        <w:rPr>
          <w:rFonts w:ascii="Arial" w:cs="Arial" w:eastAsia="Arial" w:hAnsi="Arial"/>
          <w:sz w:val="18"/>
          <w:szCs w:val="18"/>
          <w:color w:val="auto"/>
        </w:rPr>
        <w:t>” means a new drug application, an abbreviated drug application, or a product license application for any Product, as appropriate, as those terms are defined in the FDCA.</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xml:space="preserve">” means any present and future federal, state and local laws, statutes, ordinances, rules, regulations, standards, policies and other governmental directives or requirements, as well as common law, pertaining to the environment, natural resources, pollution, health (including any environmental clean-up statutes and all regulations adopted by any local, state, federal or other Governmental Authority, and any statute, ordinance, code, order, decree, law rule or regulation all of which pertain to or impose liability or standards of conduct concerning medical waste or medical products, equipment or supplies), safety or clean-up that apply to any Borrower and relate to Hazardous Materials, including, without limitation, the Comprehensive Environmental Response, Compensation and Liability Act of 1980 (42 U.S.C. § 9601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Resource Conservation and Recovery Act of 1976 (42 U.S.C. § 6901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Federal Water Pollution Control Act (33 U.S.C. § 1251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Hazardous Materials Transportation Act (49 U.S.C. § 5101 </w:t>
      </w:r>
      <w:r>
        <w:rPr>
          <w:rFonts w:ascii="Arial" w:cs="Arial" w:eastAsia="Arial" w:hAnsi="Arial"/>
          <w:sz w:val="17"/>
          <w:szCs w:val="17"/>
          <w:i w:val="1"/>
          <w:iCs w:val="1"/>
          <w:color w:val="auto"/>
        </w:rPr>
        <w:t>et</w:t>
      </w:r>
      <w:r>
        <w:rPr>
          <w:rFonts w:ascii="Arial" w:cs="Arial" w:eastAsia="Arial" w:hAnsi="Arial"/>
          <w:sz w:val="17"/>
          <w:szCs w:val="17"/>
          <w:color w:val="auto"/>
        </w:rPr>
        <w:t xml:space="preserve"> </w:t>
      </w:r>
      <w:r>
        <w:rPr>
          <w:rFonts w:ascii="Arial" w:cs="Arial" w:eastAsia="Arial" w:hAnsi="Arial"/>
          <w:sz w:val="17"/>
          <w:szCs w:val="17"/>
          <w:i w:val="1"/>
          <w:iCs w:val="1"/>
          <w:color w:val="auto"/>
        </w:rPr>
        <w:t>seq.</w:t>
      </w:r>
      <w:r>
        <w:rPr>
          <w:rFonts w:ascii="Arial" w:cs="Arial" w:eastAsia="Arial" w:hAnsi="Arial"/>
          <w:sz w:val="17"/>
          <w:szCs w:val="17"/>
          <w:color w:val="auto"/>
        </w:rPr>
        <w:t>), the Clean Air Act (42 U.S.C. § 7401</w:t>
      </w:r>
      <w:r>
        <w:rPr>
          <w:rFonts w:ascii="Arial" w:cs="Arial" w:eastAsia="Arial" w:hAnsi="Arial"/>
          <w:sz w:val="17"/>
          <w:szCs w:val="17"/>
          <w:i w:val="1"/>
          <w:iCs w:val="1"/>
          <w:color w:val="auto"/>
        </w:rPr>
        <w:t xml:space="preserve"> et seq.</w:t>
      </w:r>
      <w:r>
        <w:rPr>
          <w:rFonts w:ascii="Arial" w:cs="Arial" w:eastAsia="Arial" w:hAnsi="Arial"/>
          <w:sz w:val="17"/>
          <w:szCs w:val="17"/>
          <w:color w:val="auto"/>
        </w:rPr>
        <w:t>), the Federal Insecticide, Fungicide and Rodenticide Act (7 U.S.C. § 136</w:t>
      </w:r>
      <w:r>
        <w:rPr>
          <w:rFonts w:ascii="Arial" w:cs="Arial" w:eastAsia="Arial" w:hAnsi="Arial"/>
          <w:sz w:val="17"/>
          <w:szCs w:val="17"/>
          <w:i w:val="1"/>
          <w:iCs w:val="1"/>
          <w:color w:val="auto"/>
        </w:rPr>
        <w:t xml:space="preserve"> et seq.</w:t>
      </w:r>
      <w:r>
        <w:rPr>
          <w:rFonts w:ascii="Arial" w:cs="Arial" w:eastAsia="Arial" w:hAnsi="Arial"/>
          <w:sz w:val="17"/>
          <w:szCs w:val="17"/>
          <w:color w:val="auto"/>
        </w:rPr>
        <w:t>), the Emergency Planning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Community Right-to-Know Act (42 U.S.C. § 11001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Occupational Safety and Health Act (29 U.S.C. § 651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the Residential Lead-Based Paint Hazard Reduction Act (42 U.S.C. § 4851 </w:t>
      </w:r>
      <w:r>
        <w:rPr>
          <w:rFonts w:ascii="Arial" w:cs="Arial" w:eastAsia="Arial" w:hAnsi="Arial"/>
          <w:sz w:val="17"/>
          <w:szCs w:val="17"/>
          <w:i w:val="1"/>
          <w:iCs w:val="1"/>
          <w:color w:val="auto"/>
        </w:rPr>
        <w:t>et seq.</w:t>
      </w:r>
      <w:r>
        <w:rPr>
          <w:rFonts w:ascii="Arial" w:cs="Arial" w:eastAsia="Arial" w:hAnsi="Arial"/>
          <w:sz w:val="17"/>
          <w:szCs w:val="17"/>
          <w:color w:val="auto"/>
        </w:rPr>
        <w:t>), any analogous state or local laws, any amendments thereto, and the regulations promulgated pursuant to said laws, together with all amendments from time to time to any of the foregoing.</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the same may be amended, modified or supplemented from time to time, and any successor statute thereto, and any and all rules or regulations promulgated from time to time thereunder.</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Plan</w:t>
      </w:r>
      <w:r>
        <w:rPr>
          <w:rFonts w:ascii="Arial" w:cs="Arial" w:eastAsia="Arial" w:hAnsi="Arial"/>
          <w:sz w:val="18"/>
          <w:szCs w:val="18"/>
          <w:color w:val="auto"/>
        </w:rPr>
        <w:t>” means any “employee benefit plan”, as such term is defined in Section 3(3) of ERISA (other than a Multiemployer Plan), which any Borrower maintains, sponsors or contributes to, or, in the case of an employee benefit plan which is subject to Section 412 of the Code or Title IV of ERISA, to which any Borrower or any member of the Controlled Group may have any liability, including any liability by reason of having been a substantial employer within the meaning of Section 4063 of ERISA at any time during the preceding five (5) years, or by reason of being deemed to be a contributing sponsor under Section 4069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European Economic Area</w:t>
      </w:r>
      <w:r>
        <w:rPr>
          <w:rFonts w:ascii="Arial" w:cs="Arial" w:eastAsia="Arial" w:hAnsi="Arial"/>
          <w:sz w:val="16"/>
          <w:szCs w:val="16"/>
          <w:color w:val="auto"/>
        </w:rPr>
        <w:t>” means the member states of the European Union, as of the Closing Date, as well as Iceland, Liechtenstein and Norway.</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set forth in Section 10.1.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Accounts</w:t>
      </w:r>
      <w:r>
        <w:rPr>
          <w:rFonts w:ascii="Arial" w:cs="Arial" w:eastAsia="Arial" w:hAnsi="Arial"/>
          <w:sz w:val="17"/>
          <w:szCs w:val="17"/>
          <w:color w:val="auto"/>
        </w:rPr>
        <w:t>” means Deposit Accounts (a) into which there is deposited no funds other than those intended solely to cover wages and payroll for employees of a Credit Party for a period of service no longer than two weeks at any time (and related contributions to be made on behalf of such employees to health and benefit plans) plus balances for outstanding checks for wages and payroll from prior periods; (b) constituting employee withholding accounts and contain only funds deducted from pay otherwise due to employees for services rendered to be applied toward the tax obligations of such employees; and (c) owned by Excluded Foreign Subsidiaries and maintained outside of the United States.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6" w:name="page17"/>
    <w:bookmarkEnd w:id="16"/>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xml:space="preserve">” means (a) each direct and indirect Subsidiary of Borrower set forth on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under the heading “Excluded Foreign Subsidiaries” on the Closing Date, and (b) so long as the requirements of Section 4.11(e) are satisfied after giving effect to any such designation, each other direct and indirect Subsidiary of Borrower not organized under the laws of the United States or any state thereof that Borrower Representative may designate as an “Excluded Foreign Subsidiary” for purposes of this Agreement from time to time; unless and until such Subsidiary has been made a Credit Party hereunder in accordance with the provisions set forth in Section 4.11.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has the meaning set forth on Schedule 9.1.</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Agent, any Lender or any other recipient of any payment to be made by or on behalf of any obligation of Credit Parties hereunder or the Obligations or required to be withheld or deducted from a payment to Agent, such Lender or such recipient (including any interest and penalties thereon): (a) Taxes to the extent imposed on or measured by Agent’s, any Lender’s or such recipient’s net income (however denominated), branch profits Taxes, and franchise Taxes and similar Taxes, in each case, (i) imposed by the jurisdiction (or any political subdivision thereof) under which Agent, such Lender or such recipient is organized, has its principal office or conducts business with respect to entering into any of the Financing Documents or taking any action thereunder or (ii) that are Other Connection Taxes; (b) in the case of a Lender, United States withholding Taxes imposed on amounts payable to or for the account of such Lender with respect to an applicable interest in the Loans pursuant to a Law in effect on the date on which (i) such Lender becomes a party to this Agreement other than as a result of an assignment requested by a Credit Party under the terms hereof or (ii) such Lender changes its lending office for funding its Loan, except in each case to the extent that, pursuant to Section 2.8, amounts with respect to such Taxes were payable either to such Lender’s assignor immediately before such Lender acquired the applicable interest in a Loan or Term Loan Commitment or to such Lender immediately before it changed its lending office; (c) Taxes attributable to such Lender’s failure to comply with Section 2.8(c); and (d) any U.S. federal withholding taxes imposed in respect of a Lender under FATCA.</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U.S. Treasury regulations or official interpretations thereof and any agreement entered into pursuant to the implementation of Section 1471(b)(1) of the Code, and any intergovernmental agreement between the United States Internal Revenue Service, the U.S. Government and any governmental or taxation authority under any other jurisdiction which agreement’s principal purposes deals with the implementation of such sections of the Code.</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Food and Drug Administration of the United States of America, any comparable state or local Governmental Authority, any comparable Governmental Authority in any non-United States jurisdiction, and any successor agency of any of the foregoing.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FDCA</w:t>
      </w:r>
      <w:r>
        <w:rPr>
          <w:rFonts w:ascii="Arial" w:cs="Arial" w:eastAsia="Arial" w:hAnsi="Arial"/>
          <w:sz w:val="16"/>
          <w:szCs w:val="16"/>
          <w:color w:val="auto"/>
        </w:rPr>
        <w:t>” means the Federal Food, Drug and Cosmetic Act, as amended, 21 U.S.C. Section 301 et seq., and all regulations promulgated thereunder.</w:t>
      </w:r>
    </w:p>
    <w:p>
      <w:pPr>
        <w:spacing w:after="0" w:line="24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each agreement between Agent and Borrower relating to fees payable to Agent, for its own account, in connection with the execution of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Financing Documents</w:t>
      </w:r>
      <w:r>
        <w:rPr>
          <w:rFonts w:ascii="Arial" w:cs="Arial" w:eastAsia="Arial" w:hAnsi="Arial"/>
          <w:sz w:val="18"/>
          <w:szCs w:val="18"/>
          <w:color w:val="auto"/>
        </w:rPr>
        <w:t>” means this Agreement, any Notes, the Security Documents, each Fee Letter, each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1"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herewith or executed at any time and from time to time hereafter, as any or all of the same may be amended, supplemented, restated or otherwise modified from time to time.</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IP Perfection Event</w:t>
      </w:r>
      <w:r>
        <w:rPr>
          <w:rFonts w:ascii="Arial" w:cs="Arial" w:eastAsia="Arial" w:hAnsi="Arial"/>
          <w:sz w:val="18"/>
          <w:szCs w:val="18"/>
          <w:color w:val="auto"/>
        </w:rPr>
        <w:t xml:space="preserve">” means that, on any date, the Borrower has allowed the aggregate amount of cash and cash equivalents held by Borrower in Deposit Accounts or Securities Accounts in the United States and that is subject to a first priority perfected Lien in favor of Agent to be less than the lesser of (a) $60,000,000 and (b) an amount equal to 1.25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the aggregate amount of Obligations then outstanding under the Financing Documents.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has the meaning set forth in Section 2.8(c)(i).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United States accounting profession), which are applicable to the circumstances as of the date of determination.</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w:t>
      </w:r>
      <w:r>
        <w:rPr>
          <w:rFonts w:ascii="Arial" w:cs="Arial" w:eastAsia="Arial" w:hAnsi="Arial"/>
          <w:sz w:val="18"/>
          <w:szCs w:val="18"/>
          <w:color w:val="auto"/>
        </w:rPr>
        <w:t>” means any “general intangible” as defined in Article 9 of the UCC, and any personal property, including things in action, other than accounts, chattel paper, commercial tort claims, deposit accounts, documents, goods, instruments, investment property, letter-of-credit rights, letters of credit, money, and oil, gas or other minerals before extraction, but including payment intangibles and software.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means current good manufacturing practices, as set forth in 21 C.F.R. Parts 210 and 211.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Account Debtor</w:t>
      </w:r>
      <w:r>
        <w:rPr>
          <w:rFonts w:ascii="Arial" w:cs="Arial" w:eastAsia="Arial" w:hAnsi="Arial"/>
          <w:sz w:val="18"/>
          <w:szCs w:val="18"/>
          <w:color w:val="auto"/>
        </w:rPr>
        <w:t>” means any Account Debtor that is a Governmental Authority, including, without limitation, Medicare and Medicaid.</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or government, any state, local or other political subdivision thereof, and any agency, department or Person exercising executive, legislative, judicial, regulatory or administrative functions of or pertaining to government, whether domestic or foreign.</w:t>
      </w:r>
    </w:p>
    <w:p>
      <w:pPr>
        <w:spacing w:after="0" w:line="11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by any Person means any obligation, contingent or otherwise, of such Person directly or indirectly guaranteeing any Debt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jc w:val="both"/>
        <w:ind w:firstLine="8"/>
        <w:spacing w:after="0" w:line="271" w:lineRule="auto"/>
        <w:tabs>
          <w:tab w:leader="none" w:pos="258"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to purchase or pay (or advance or supply funds for the purchase or payment of) such Debt or other obligation (whether arising by virtue of partnership arrangements, by agreement to keep-well, to purchase assets, goods, securities or services, to take-or-pay, or to maintain financial statement conditions or otherwise), or (b) entered into for the purpose of assuring in any other manner the obligee of such Debt or other obligation of the payment thereof or to protect such obligee against loss in respect thereof (in whole or in part),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Guarantee shall not include endorsements for collection or deposit in the Ordinary Course of Business. The term “</w:t>
      </w:r>
      <w:r>
        <w:rPr>
          <w:rFonts w:ascii="Arial" w:cs="Arial" w:eastAsia="Arial" w:hAnsi="Arial"/>
          <w:sz w:val="17"/>
          <w:szCs w:val="17"/>
          <w:b w:val="1"/>
          <w:bCs w:val="1"/>
          <w:color w:val="auto"/>
        </w:rPr>
        <w:t>Guarantee</w:t>
      </w:r>
      <w:r>
        <w:rPr>
          <w:rFonts w:ascii="Arial" w:cs="Arial" w:eastAsia="Arial" w:hAnsi="Arial"/>
          <w:sz w:val="17"/>
          <w:szCs w:val="17"/>
          <w:color w:val="auto"/>
        </w:rPr>
        <w:t>” used as a verb has a corresponding meaning.</w:t>
      </w:r>
    </w:p>
    <w:p>
      <w:pPr>
        <w:spacing w:after="0" w:line="17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Credit Party that has executed or delivered, or shall in the future execute or deliver, any Guarantee of any portion of the Obligations.</w:t>
      </w:r>
    </w:p>
    <w:p>
      <w:pPr>
        <w:spacing w:after="0" w:line="162"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petroleum and petroleum products and compounds containing them, including gasoline, diesel fuel and oil; explosives, flammable materials; radioactive materials; polychlorinated biphenyls and compounds containing them; lead and lead-based paint; asbestos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25" w:right="239" w:bottom="1440" w:gutter="0" w:footer="0" w:header="0"/>
        </w:sectPr>
      </w:pPr>
    </w:p>
    <w:bookmarkStart w:id="18" w:name="page19"/>
    <w:bookmarkEnd w:id="18"/>
    <w:p>
      <w:pPr>
        <w:jc w:val="both"/>
        <w:spacing w:after="0" w:line="285" w:lineRule="auto"/>
        <w:rPr>
          <w:sz w:val="20"/>
          <w:szCs w:val="20"/>
          <w:color w:val="auto"/>
        </w:rPr>
      </w:pPr>
      <w:r>
        <w:rPr>
          <w:rFonts w:ascii="Arial" w:cs="Arial" w:eastAsia="Arial" w:hAnsi="Arial"/>
          <w:sz w:val="16"/>
          <w:szCs w:val="16"/>
          <w:color w:val="auto"/>
        </w:rPr>
        <w:t>asbestos-containing materials; underground or above-ground storage tanks, whether empty or containing any substance; any substance the presence of which is prohibited by any Environmental Laws; toxic mold, any substance that requires special handling; and any other material or substance now or in the future defined as a “hazardous substance,” “hazardous material,” “hazardous waste,” “toxic substance,” “toxic pollutant,” “contaminant,” “pollutant” or other words of similar import within the meaning of any Environmental Law, including: (a) any “hazardous substance” defined as such in (or for purposes of) CERCLA, or any so-called “superfund” or “superlien” Law, including the judicial interpretation thereof; (b) any “pollutant or contaminant” as defined in 42 U.S.C.A.</w:t>
      </w:r>
    </w:p>
    <w:p>
      <w:pPr>
        <w:spacing w:after="0" w:line="2" w:lineRule="exact"/>
        <w:rPr>
          <w:sz w:val="20"/>
          <w:szCs w:val="20"/>
          <w:color w:val="auto"/>
        </w:rPr>
      </w:pPr>
    </w:p>
    <w:p>
      <w:pPr>
        <w:jc w:val="both"/>
        <w:ind w:firstLine="8"/>
        <w:spacing w:after="0" w:line="252" w:lineRule="auto"/>
        <w:tabs>
          <w:tab w:leader="none" w:pos="1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9601(33); (c) any material now defined as “hazardous waste” pursuant to 40 C.F.R. Part 260; (d) any petroleum or petroleum by-products, including crude oil or any fraction thereof; (e) natural gas, natural gas liquids, liquefied natural gas, or synthetic gas usable for fuel; (f) any “hazardous chemical” as defined pursuant to 29 C.F.R. Part 1910; (g) any toxic or harmful substances, wastes, materials, pollutants or contaminants (including, without limitation, asbestos, polychlorinated biphenyls (“</w:t>
      </w:r>
      <w:r>
        <w:rPr>
          <w:rFonts w:ascii="Arial" w:cs="Arial" w:eastAsia="Arial" w:hAnsi="Arial"/>
          <w:sz w:val="18"/>
          <w:szCs w:val="18"/>
          <w:b w:val="1"/>
          <w:bCs w:val="1"/>
          <w:color w:val="auto"/>
        </w:rPr>
        <w:t>PCB’s</w:t>
      </w:r>
      <w:r>
        <w:rPr>
          <w:rFonts w:ascii="Arial" w:cs="Arial" w:eastAsia="Arial" w:hAnsi="Arial"/>
          <w:sz w:val="18"/>
          <w:szCs w:val="18"/>
          <w:color w:val="auto"/>
        </w:rPr>
        <w:t>”), flammable explosives, radioactive materials, infectious substances, materials containing lead-based paint or raw materials which include hazardous constituents); and (h) any other toxic substance or contaminant that is subject to any Environmental Laws or other past or present requirement of any Governmental Authority.</w:t>
      </w:r>
    </w:p>
    <w:p>
      <w:pPr>
        <w:spacing w:after="0" w:line="19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 Contamination</w:t>
      </w:r>
      <w:r>
        <w:rPr>
          <w:rFonts w:ascii="Arial" w:cs="Arial" w:eastAsia="Arial" w:hAnsi="Arial"/>
          <w:sz w:val="18"/>
          <w:szCs w:val="18"/>
          <w:color w:val="auto"/>
        </w:rPr>
        <w:t>” means contamination (whether now existing or hereafter occurring) of the improvements, buildings, facilities, personalty, soil, groundwater, air or other elements on or of the relevant property by Hazardous Materials, or any derivatives thereof, or on or of any other property as a result of Hazardous Materials, or any derivatives thereof, generated on, emanating from or disposed of in connection with the relevant property.</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Healthcare Laws</w:t>
      </w:r>
      <w:r>
        <w:rPr>
          <w:rFonts w:ascii="Arial" w:cs="Arial" w:eastAsia="Arial" w:hAnsi="Arial"/>
          <w:sz w:val="18"/>
          <w:szCs w:val="18"/>
          <w:color w:val="auto"/>
        </w:rPr>
        <w:t>” means all applicable Laws relating to the procurement, development, provision, clinical and non-clinical evaluation or investigation, product approval or clearance, manufacture, production, analysis, distribution, dispensing, importation, exportation, use, handling, quality, reimbursement, sale, labeling, advertising, promotion, or postmarket requirements of any drug, medical device, food, dietary supplement, or other product (including, without limitation, any ingredient or component of, or accessory to, the foregoing products) subject to regulation under the Federal Food, Drug, and Cosmetic Act (21 U.S.C. et seq.), and similar state or foreign laws, controlled substances laws, pharmacy laws, consumer product safety laws, Medicare, Medicaid, TRICARE, HIPAA, the Patient Protection and Affordable Care Act (P.L. 111-1468), all federal and state fraud and abuse laws, including, without limitation, the federal Anti-Kickback Statute (42 U.S.C. §1320a-7b(6)), the Stark Law (42 U.S.C. §1395nn), the civil False Claims Act (31 U.S.C. §3729 et seq.) and all laws, policies, procedures, requirements and regulations pursuant to which Permits are issued, in each case, as the same may be amended from time to time.</w:t>
      </w:r>
    </w:p>
    <w:p>
      <w:pPr>
        <w:spacing w:after="0" w:line="189"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Borrowers or any other Credit Party under any Financing Documents and (b) to the extent not otherwise described in (a), Other Taxes.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means “instrument”, as defined in Article 9 of the UCC.</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trade names, service marks, mask works, rights of use of any name, domain names, or any other similar rights, any applications therefor, whether registered or not, know-how, operating manuals, trade secret rights, clinical and non-clinical data, rights to unpatented inventions, and any claims for damage by way of any past, present, or future infringement of any of the foregoing.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5" w:right="239" w:bottom="1440" w:gutter="0" w:footer="0" w:header="0"/>
        </w:sectPr>
      </w:pPr>
    </w:p>
    <w:bookmarkStart w:id="19" w:name="page20"/>
    <w:bookmarkEnd w:id="19"/>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Receivable</w:t>
      </w:r>
      <w:r>
        <w:rPr>
          <w:rFonts w:ascii="Arial" w:cs="Arial" w:eastAsia="Arial" w:hAnsi="Arial"/>
          <w:sz w:val="18"/>
          <w:szCs w:val="18"/>
          <w:color w:val="auto"/>
        </w:rPr>
        <w:t>” means any right to payment held by a Credit Party for goods sold or leased or for services rendered or loans or funds advanced to any of Borrower’s Subsidiaries, whether or not such right is evidenced by an Instrument or Chattel Paper and whether or not it has been earned by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Instrument</w:t>
      </w:r>
      <w:r>
        <w:rPr>
          <w:rFonts w:ascii="Arial" w:cs="Arial" w:eastAsia="Arial" w:hAnsi="Arial"/>
          <w:sz w:val="18"/>
          <w:szCs w:val="18"/>
          <w:color w:val="auto"/>
        </w:rPr>
        <w:t>” means “instrument” as defined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means any period commencing on the first day of a calendar month and ending on the last day of such calendar month.</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“inventory” as defined in Article 9 of the UCC.</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with respect to any Person, directly or indirectly, (a) to purchase or acquire any stock or stock equivalents, or any obligations or other securities of, or any interest in, any Person, including the establishment or creation of a Subsidiary, (b) to make or commit to make any acquisition (including through licensing) of (i) all or substantially all of the assets of another Person, or (ii) any business, Product, Intellectual Property, business line or product line, division or other unit operation of any Person or (c) make or purchase any advance, loan, extension of credit or capital contribution to, or any other investment in, any Person. The amount of any Investment shall be the original cost of such Investment plus the cost of all additions thereto, without any adjustments for increases or decreases in value, or write-ups, write-downs or write-offs with respect thereto.</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has the meaning set forth in Section 2.8(c)(i).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Requirements</w:t>
      </w:r>
      <w:r>
        <w:rPr>
          <w:rFonts w:ascii="Arial" w:cs="Arial" w:eastAsia="Arial" w:hAnsi="Arial"/>
          <w:sz w:val="18"/>
          <w:szCs w:val="18"/>
          <w:color w:val="auto"/>
        </w:rPr>
        <w:t>” has the meaning set forth in Section 4.11(d).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any and all federal, state, provincial, territorial, local and foreign statutes, laws, judicial decisions, regulations, ordinances, rules, judgments, orders, decrees, codes, injunctions, permits, governmental agreements and governmental restrictions, whether now or hereafter in effect, which are applicable to any Credit Party in any particular circumstance. “</w:t>
      </w:r>
      <w:r>
        <w:rPr>
          <w:rFonts w:ascii="Arial" w:cs="Arial" w:eastAsia="Arial" w:hAnsi="Arial"/>
          <w:sz w:val="17"/>
          <w:szCs w:val="17"/>
          <w:b w:val="1"/>
          <w:bCs w:val="1"/>
          <w:color w:val="auto"/>
        </w:rPr>
        <w:t>Laws</w:t>
      </w:r>
      <w:r>
        <w:rPr>
          <w:rFonts w:ascii="Arial" w:cs="Arial" w:eastAsia="Arial" w:hAnsi="Arial"/>
          <w:sz w:val="17"/>
          <w:szCs w:val="17"/>
          <w:color w:val="auto"/>
        </w:rPr>
        <w:t>” includes, without limitation, Healthcare Laws and Environmental Laws.</w:t>
      </w:r>
    </w:p>
    <w:p>
      <w:pPr>
        <w:spacing w:after="0" w:line="15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means each of (a) MCF, in its capacity as a lender hereunder, (b) MidCap Funding III Trust, MidCap Funding XIII Trust, Flexpoint MCLS Holdings LLC and Apollo Investment Corporation, each in its capacity as a lender hereunder, (c) each other Person that becomes a party hereto as Lender pursuant to Section 11.17, and (d) the respective successors of all of the foregoing, and “</w:t>
      </w:r>
      <w:r>
        <w:rPr>
          <w:rFonts w:ascii="Arial" w:cs="Arial" w:eastAsia="Arial" w:hAnsi="Arial"/>
          <w:sz w:val="17"/>
          <w:szCs w:val="17"/>
          <w:b w:val="1"/>
          <w:bCs w:val="1"/>
          <w:color w:val="auto"/>
        </w:rPr>
        <w:t>Lenders</w:t>
      </w:r>
      <w:r>
        <w:rPr>
          <w:rFonts w:ascii="Arial" w:cs="Arial" w:eastAsia="Arial" w:hAnsi="Arial"/>
          <w:sz w:val="17"/>
          <w:szCs w:val="17"/>
          <w:color w:val="auto"/>
        </w:rPr>
        <w:t>” means all of the foregoing.</w:t>
      </w:r>
    </w:p>
    <w:p>
      <w:pPr>
        <w:spacing w:after="0" w:line="15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Rate</w:t>
      </w:r>
      <w:r>
        <w:rPr>
          <w:rFonts w:ascii="Arial" w:cs="Arial" w:eastAsia="Arial" w:hAnsi="Arial"/>
          <w:sz w:val="17"/>
          <w:szCs w:val="17"/>
          <w:color w:val="auto"/>
        </w:rPr>
        <w:t xml:space="preserve">” means, for each Loan, a per annum rate of interest equal to the greater of (a) one percent (1.00%) and (b) the rate determined by Agent (rounded upwards, if necessary, to the next 1/100th%) by </w:t>
      </w:r>
      <w:r>
        <w:rPr>
          <w:rFonts w:ascii="Arial" w:cs="Arial" w:eastAsia="Arial" w:hAnsi="Arial"/>
          <w:sz w:val="17"/>
          <w:szCs w:val="17"/>
          <w:i w:val="1"/>
          <w:iCs w:val="1"/>
          <w:color w:val="auto"/>
        </w:rPr>
        <w:t>dividing</w:t>
      </w:r>
      <w:r>
        <w:rPr>
          <w:rFonts w:ascii="Arial" w:cs="Arial" w:eastAsia="Arial" w:hAnsi="Arial"/>
          <w:sz w:val="17"/>
          <w:szCs w:val="17"/>
          <w:color w:val="auto"/>
        </w:rPr>
        <w:t xml:space="preserve"> (i) the Base LIBOR Rate for the Interest Period, </w:t>
      </w:r>
      <w:r>
        <w:rPr>
          <w:rFonts w:ascii="Arial" w:cs="Arial" w:eastAsia="Arial" w:hAnsi="Arial"/>
          <w:sz w:val="17"/>
          <w:szCs w:val="17"/>
          <w:i w:val="1"/>
          <w:iCs w:val="1"/>
          <w:color w:val="auto"/>
        </w:rPr>
        <w:t>by</w:t>
      </w:r>
      <w:r>
        <w:rPr>
          <w:rFonts w:ascii="Arial" w:cs="Arial" w:eastAsia="Arial" w:hAnsi="Arial"/>
          <w:sz w:val="17"/>
          <w:szCs w:val="17"/>
          <w:color w:val="auto"/>
        </w:rPr>
        <w:t xml:space="preserve"> (ii) the sum of one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daily average during such Interest Period of the aggregate maximum reserve requirement (expressed as a decimal) then imposed under Regulation D of the Board of Governors of the Federal Reserve System (or any successor thereto) for “Eurocurrency Liabilities” (as defined therein).</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For the purposes of this Agreement and the other Financing Documents, any Borrower or any Subsidiary shall be deemed to own subject to a Lien any asset which it has acquired or holds subject to the interest of a vendor or lessor under any conditional sale agreement, capital lease or other title retention agreement relating to such asset.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21" w:right="239" w:bottom="1440" w:gutter="0" w:footer="0" w:header="0"/>
        </w:sectPr>
      </w:pPr>
    </w:p>
    <w:bookmarkStart w:id="20" w:name="page21"/>
    <w:bookmarkEnd w:id="2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w:t>
      </w:r>
      <w:r>
        <w:rPr>
          <w:rFonts w:ascii="Arial" w:cs="Arial" w:eastAsia="Arial" w:hAnsi="Arial"/>
          <w:sz w:val="18"/>
          <w:szCs w:val="18"/>
          <w:color w:val="auto"/>
        </w:rPr>
        <w:t>” means any action, suit or proceeding before any court, mediator, arbitrator or Governmental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Account</w:t>
      </w:r>
      <w:r>
        <w:rPr>
          <w:rFonts w:ascii="Arial" w:cs="Arial" w:eastAsia="Arial" w:hAnsi="Arial"/>
          <w:sz w:val="18"/>
          <w:szCs w:val="18"/>
          <w:color w:val="auto"/>
        </w:rPr>
        <w:t>” has the meaning set forth in Section 2.6(b).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means the Term Loan and each and every advance under the Term Loan. All references herein to the “making” of a Loan or words of similar import mean, with respect to the Term Loan, the making of any advance in respect of a Term Loan.</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Withdrawal</w:t>
      </w:r>
      <w:r>
        <w:rPr>
          <w:rFonts w:ascii="Arial" w:cs="Arial" w:eastAsia="Arial" w:hAnsi="Arial"/>
          <w:sz w:val="17"/>
          <w:szCs w:val="17"/>
          <w:color w:val="auto"/>
        </w:rPr>
        <w:t>” means a Person’s Removal or Correction of a distributed product which involves a minor violation that would not be subject to legal action by the FDA or which involves no violation, e.g., normal stock rotation practices, routine equipment adjustments and repairs, etc.</w:t>
      </w:r>
    </w:p>
    <w:p>
      <w:pPr>
        <w:spacing w:after="0" w:line="13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with respect to any event, act, condition or occurrence of whatever nature (including any adverse determination in any litigation, arbitration, or governmental investigation or proceeding), whether singly or in conjunction with any other event or events, act or acts, condition or conditions, occurrence or occurrences, whether or not related, a material adverse change in, a material impairment, or a material adverse effect upon, any of (a) the financial condition, operations, business, or properties of any of the Credit Parties, (b) the rights and remedies of Agent or Lenders under any Financing Document, or the ability of any Credit Party to perform any of its obligations under any Financing Document to which it is a party, (c) the legality, validity or enforceability of any Financing Document, (d) the existence, perfection or priority of any security interest granted in any Financing Document, (e) the value of any material Collateral, or (f) the prospect of repayment of any portion of the Obligations.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Contracts</w:t>
      </w:r>
      <w:r>
        <w:rPr>
          <w:rFonts w:ascii="Arial" w:cs="Arial" w:eastAsia="Arial" w:hAnsi="Arial"/>
          <w:sz w:val="16"/>
          <w:szCs w:val="16"/>
          <w:color w:val="auto"/>
        </w:rPr>
        <w:t xml:space="preserve">” means (a) the Operative Documents, (b) the agreements listed on </w:t>
      </w:r>
      <w:r>
        <w:rPr>
          <w:rFonts w:ascii="Arial" w:cs="Arial" w:eastAsia="Arial" w:hAnsi="Arial"/>
          <w:sz w:val="16"/>
          <w:szCs w:val="16"/>
          <w:u w:val="single" w:color="auto"/>
          <w:color w:val="auto"/>
        </w:rPr>
        <w:t>Schedule 3.17</w:t>
      </w:r>
      <w:r>
        <w:rPr>
          <w:rFonts w:ascii="Arial" w:cs="Arial" w:eastAsia="Arial" w:hAnsi="Arial"/>
          <w:sz w:val="16"/>
          <w:szCs w:val="16"/>
          <w:color w:val="auto"/>
        </w:rPr>
        <w:t>, (c) the 2022 Convertible Note Documents,</w:t>
      </w:r>
    </w:p>
    <w:p>
      <w:pPr>
        <w:spacing w:after="0" w:line="50" w:lineRule="exact"/>
        <w:rPr>
          <w:sz w:val="20"/>
          <w:szCs w:val="20"/>
          <w:color w:val="auto"/>
        </w:rPr>
      </w:pPr>
    </w:p>
    <w:p>
      <w:pPr>
        <w:ind w:firstLine="8"/>
        <w:spacing w:after="0" w:line="261"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Closing Date Intercompany Agreements, and (e) any agreement or contract to which a Credit Party or its Subsidiaries is a party the termination of which would reasonably be expected to result in a Material Adverse Effect.</w:t>
      </w:r>
    </w:p>
    <w:p>
      <w:pPr>
        <w:spacing w:after="0" w:line="18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Intangible Assets</w:t>
      </w:r>
      <w:r>
        <w:rPr>
          <w:rFonts w:ascii="Arial" w:cs="Arial" w:eastAsia="Arial" w:hAnsi="Arial"/>
          <w:sz w:val="17"/>
          <w:szCs w:val="17"/>
          <w:color w:val="auto"/>
        </w:rPr>
        <w:t>” means all of (a) Borrower’s Intellectual Property and (b) license or sublicense agreements or other agreements with respect to rights in Intellectual Property, in each case that are material to the condition (financial or other), business or operations of Borrower.</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Lawful Rate</w:t>
      </w:r>
      <w:r>
        <w:rPr>
          <w:rFonts w:ascii="Arial" w:cs="Arial" w:eastAsia="Arial" w:hAnsi="Arial"/>
          <w:sz w:val="18"/>
          <w:szCs w:val="18"/>
          <w:color w:val="auto"/>
        </w:rPr>
        <w:t>” has the meaning set forth in Section 2.7.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MCF</w:t>
      </w:r>
      <w:r>
        <w:rPr>
          <w:rFonts w:ascii="Arial" w:cs="Arial" w:eastAsia="Arial" w:hAnsi="Arial"/>
          <w:sz w:val="18"/>
          <w:szCs w:val="18"/>
          <w:color w:val="auto"/>
        </w:rPr>
        <w:t>” means MidCap Financial Trust, a Delaware statutory trust, and its successors and assigns.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Medicaid</w:t>
      </w:r>
      <w:r>
        <w:rPr>
          <w:rFonts w:ascii="Arial" w:cs="Arial" w:eastAsia="Arial" w:hAnsi="Arial"/>
          <w:sz w:val="18"/>
          <w:szCs w:val="18"/>
          <w:color w:val="auto"/>
        </w:rPr>
        <w:t xml:space="preserve">” means, collectively, the healthcare assistance program established by Title XIX of the Social Security Act (42 U.S.C. §§ 1396 </w:t>
      </w:r>
      <w:r>
        <w:rPr>
          <w:rFonts w:ascii="Arial" w:cs="Arial" w:eastAsia="Arial" w:hAnsi="Arial"/>
          <w:sz w:val="18"/>
          <w:szCs w:val="18"/>
          <w:i w:val="1"/>
          <w:iCs w:val="1"/>
          <w:color w:val="auto"/>
        </w:rPr>
        <w:t>et seq</w:t>
      </w:r>
      <w:r>
        <w:rPr>
          <w:rFonts w:ascii="Arial" w:cs="Arial" w:eastAsia="Arial" w:hAnsi="Arial"/>
          <w:sz w:val="18"/>
          <w:szCs w:val="18"/>
          <w:color w:val="auto"/>
        </w:rPr>
        <w:t>.) and any statutes succeeding thereto, all state statutes and plans for medical assistance enacted in connection with such program, and all laws, rules, regulations, manuals, orders, guidelines or requirements (whether or not having the force of Law) pertaining to such program, in each case as the same may be amended, supplemented or otherwise modified from time to time.</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Medicare</w:t>
      </w:r>
      <w:r>
        <w:rPr>
          <w:rFonts w:ascii="Arial" w:cs="Arial" w:eastAsia="Arial" w:hAnsi="Arial"/>
          <w:sz w:val="17"/>
          <w:szCs w:val="17"/>
          <w:color w:val="auto"/>
        </w:rPr>
        <w:t xml:space="preserve">” means, collectively, the health insurance program for the aged and disabled established by Title XVIII of the Social Security Act (42 U.S.C. §§ 1395 </w:t>
      </w:r>
      <w:r>
        <w:rPr>
          <w:rFonts w:ascii="Arial" w:cs="Arial" w:eastAsia="Arial" w:hAnsi="Arial"/>
          <w:sz w:val="17"/>
          <w:szCs w:val="17"/>
          <w:i w:val="1"/>
          <w:iCs w:val="1"/>
          <w:color w:val="auto"/>
        </w:rPr>
        <w:t>et seq</w:t>
      </w:r>
      <w:r>
        <w:rPr>
          <w:rFonts w:ascii="Arial" w:cs="Arial" w:eastAsia="Arial" w:hAnsi="Arial"/>
          <w:sz w:val="17"/>
          <w:szCs w:val="17"/>
          <w:color w:val="auto"/>
        </w:rPr>
        <w:t>.) and any statutes succeeding thereto, and all laws, rules, regulations, manuals, orders or guidelines (whether or not having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2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force of Law) pertaining to such program, in each case as the same may be amended, supplemented or otherwise modified from time to time.</w:t>
      </w:r>
    </w:p>
    <w:p>
      <w:pPr>
        <w:spacing w:after="0" w:line="2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 multiemployer plan within the meaning of Section 4001(a)(3) of ERISA to which any Borrower or any other member of the Controlled Group (or any Person who in the last five years was a member of the Controlled Group) is making or accruing an obligation to make contributions or has within the preceding five plan years (as determined on the applicable date of determination) made contributions.</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Product Revenue</w:t>
      </w:r>
      <w:r>
        <w:rPr>
          <w:rFonts w:ascii="Arial" w:cs="Arial" w:eastAsia="Arial" w:hAnsi="Arial"/>
          <w:sz w:val="18"/>
          <w:szCs w:val="18"/>
          <w:color w:val="auto"/>
        </w:rPr>
        <w:t>” means, for any period, the net product revenue of Borrowers and their Subsidiaries, as determined in accordance with GAAP and reported by Borrower pursuant to the requirements of the Securities Exchange Act of 1934.</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set forth in Section 2.3.</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means a notice of a Responsible Officer of Borrower Representative, appropriately completed and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obligations, liabilities and indebtedness (monetary (including, without limitation, the payment of interest and other amounts arising after the commencement of any case with respect to any Credit Party under the Bankruptcy Code or any similar statute which would accrue and become due but for the commencement of such case, whether or not such amounts are allowed or allowable in whole or in part in such case) or otherwise) of each Credit Party under this Agreement or any other Financing Document, in each case howsoever created, arising or evidenced, whether direct or indirect, absolute or contingent, now or hereafter existing, or due or to become due.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Treasury Office of Foreign Assets Control.</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means,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Operative Documents</w:t>
      </w:r>
      <w:r>
        <w:rPr>
          <w:rFonts w:ascii="Arial" w:cs="Arial" w:eastAsia="Arial" w:hAnsi="Arial"/>
          <w:sz w:val="18"/>
          <w:szCs w:val="18"/>
          <w:color w:val="auto"/>
        </w:rPr>
        <w:t>” means the Financing Documents, the Subordinated Debt Documents and the Transaction Documents.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respect of any transaction involving any Credit Party or any Subsidiary, the ordinary course of such Credit Party’s or Subsidiary’s business and consistent with past practices in all material respects.</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Organizational Documents</w:t>
      </w:r>
      <w:r>
        <w:rPr>
          <w:rFonts w:ascii="Arial" w:cs="Arial" w:eastAsia="Arial" w:hAnsi="Arial"/>
          <w:sz w:val="17"/>
          <w:szCs w:val="17"/>
          <w:color w:val="auto"/>
        </w:rPr>
        <w:t>” means, with respect to any Person other than a natural person, the documents by which such Person was organized (such as a certificate of incorporation, certificate of limited partnership or articles of organization, and including, without limitation, any certificates of designation for preferred stock or other forms of preferred equity) and which relate to the internal governance of such Person (such as by-laws, a partnership agreement or an operating agreement, joint venture agreement, limited liability company agreement or members agreement), including any and all shareholder agreements or voting agreements relating to the capital stock or other equity interests of such Person.</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means taxes imposed as a result of a present or former connection between Agent or any Lender and the jurisdiction imposing such tax (other than connections arising from</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25" w:right="2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7"/>
          <w:szCs w:val="17"/>
          <w:color w:val="auto"/>
        </w:rPr>
        <w:t>Agent or such Lender having executed, delivered, become a party to, performed its obligations under, received payments under, engaged in any other transaction pursuant to or enforced any Financing Document, or sold or assigned an interest in any Loans or any Financing Document).</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Financing Document, except any such taxes that are Other Connection Taxes imposed with respect to an assignment (other than an assignment made pursuant to Section 2.8(i)).</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11.17(a)(iii).</w:t>
      </w:r>
    </w:p>
    <w:p>
      <w:pPr>
        <w:spacing w:after="0" w:line="225"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Account</w:t>
      </w:r>
      <w:r>
        <w:rPr>
          <w:rFonts w:ascii="Arial" w:cs="Arial" w:eastAsia="Arial" w:hAnsi="Arial"/>
          <w:sz w:val="16"/>
          <w:szCs w:val="16"/>
          <w:color w:val="auto"/>
        </w:rPr>
        <w:t>” means the account specified on the signature pages hereof into which all payments by or on behalf of each Borrower to Agent under the Financing Documents shall be made, or such other account as Agent shall from time to time specify by notice to Borrower Representative.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Payroll Amounts</w:t>
      </w:r>
      <w:r>
        <w:rPr>
          <w:rFonts w:ascii="Arial" w:cs="Arial" w:eastAsia="Arial" w:hAnsi="Arial"/>
          <w:sz w:val="18"/>
          <w:szCs w:val="18"/>
          <w:color w:val="auto"/>
        </w:rPr>
        <w:t>” has the meaning set forth in Section 5.14(c).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Person succeeding to any or all of its functions under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ERISA Plan that is subject to Section 412 of the Code or Title IV of ERISA.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means the Perfection Certificate delivered to Agent as of the Closing Date, together with any amendments thereto required under this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w:t>
      </w:r>
      <w:r>
        <w:rPr>
          <w:rFonts w:ascii="Arial" w:cs="Arial" w:eastAsia="Arial" w:hAnsi="Arial"/>
          <w:sz w:val="18"/>
          <w:szCs w:val="18"/>
          <w:color w:val="auto"/>
        </w:rPr>
        <w:t>” means all licenses, certificates, accreditations, product clearances or approvals, provider numbers or provider authorizations, supplier numbers, marketing authorizations, drug or device authorizations and approvals, other authorizations, franchises, qualifications, accreditations, registrations, permits, consents and approvals of a Credit Party issued or required under Laws applicable to the business of Borrower or any of its Subsidiaries or necessary in the manufacturing, importing, exporting, possession, ownership, warehousing, marketing, promoting, sale, labeling, furnishing, distribution or delivery of goods or services under Laws applicable to the business of Borrower or any of its Subsidiaries. Without limiting the generality of the foregoing, “</w:t>
      </w:r>
      <w:r>
        <w:rPr>
          <w:rFonts w:ascii="Arial" w:cs="Arial" w:eastAsia="Arial" w:hAnsi="Arial"/>
          <w:sz w:val="18"/>
          <w:szCs w:val="18"/>
          <w:b w:val="1"/>
          <w:bCs w:val="1"/>
          <w:color w:val="auto"/>
        </w:rPr>
        <w:t>Permit</w:t>
      </w:r>
      <w:r>
        <w:rPr>
          <w:rFonts w:ascii="Arial" w:cs="Arial" w:eastAsia="Arial" w:hAnsi="Arial"/>
          <w:sz w:val="18"/>
          <w:szCs w:val="18"/>
          <w:color w:val="auto"/>
        </w:rPr>
        <w:t>” includes any Regulatory Required Permit.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Dispositions</w:t>
      </w:r>
      <w:r>
        <w:rPr>
          <w:rFonts w:ascii="Arial" w:cs="Arial" w:eastAsia="Arial" w:hAnsi="Arial"/>
          <w:sz w:val="18"/>
          <w:szCs w:val="18"/>
          <w:color w:val="auto"/>
        </w:rPr>
        <w:t xml:space="preserve">” means the following Asset Dispositions,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at the time of such Asset Disposition, no Default or Event of Default exists or would result from such Asset Disposition:</w:t>
      </w:r>
    </w:p>
    <w:p>
      <w:pPr>
        <w:spacing w:after="0" w:line="166"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 and not pursuant to any bulk sale;</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dispositions of furniture, fixtures and equipment in the Ordinary Course of Business that the applicable Borrower or Subsidiary determines in good faith is no longer used or useful in, or is surplus to, the business of such Borrower and its Subsidiaries;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dispositions consisting of, or entry into, Permitted Licenses;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25" w:right="239" w:bottom="1440" w:gutter="0" w:footer="0" w:header="0"/>
        </w:sectPr>
      </w:pPr>
    </w:p>
    <w:bookmarkStart w:id="23" w:name="page24"/>
    <w:bookmarkEnd w:id="23"/>
    <w:p>
      <w:pPr>
        <w:ind w:left="130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abandonment in the Ordinary Course of Business of Intellectual Property (other than Material Intangible Assets) that is no longer used or useful to Borrowers or their Subsidiaries;</w:t>
      </w:r>
    </w:p>
    <w:p>
      <w:pPr>
        <w:spacing w:after="0" w:line="17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forgiveness or discounting, on a non-recourse basis and in the Ordinary Course of Business, of past due Accounts in connection with the collection or compromise thereof or the settlement of delinquent Accounts or in connection with the bankruptcy or reorganization of suppliers or customers in accordance with the applicable terms of this Agreement; and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dispositions approved by Agent.</w:t>
      </w:r>
    </w:p>
    <w:p>
      <w:pPr>
        <w:spacing w:after="0" w:line="22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Contest</w:t>
      </w:r>
      <w:r>
        <w:rPr>
          <w:rFonts w:ascii="Arial" w:cs="Arial" w:eastAsia="Arial" w:hAnsi="Arial"/>
          <w:sz w:val="17"/>
          <w:szCs w:val="17"/>
          <w:color w:val="auto"/>
        </w:rPr>
        <w:t xml:space="preserve">” means, with respect to any tax obligation or other obligation allegedly or potentially owing from any Borrower or its Subsidiary to any governmental tax authority or other third party, a contest maintained in good faith by appropriate proceedings promptly instituted and diligently conducted and with respect to which such reserve or other appropriate provision, if any, as shall be required in conformity with GAAP shall have been made on the books and records and financial statements of the applicable Credit Party(ies);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compliance with the obligation that is the subject of such contest is effectively stayed during such challenge; (b) Borrowers’ and their Subsidiaries’ title to, and right to use, the Collateral is not adversely affected thereby and Agent’s Lien and priority on the Collateral are not adversely affected, altered or impaired thereby; (c) Borrowers have given prior written notice to Agent of a Borrower’s or its Subsidiary’s intent to so contest the obligation; (d) the Collateral or any part thereof or any interest therein shall not be in any danger of being sold, forfeited or lost by reason of such contest by Borrowers or their Subsidiaries; (e) Borrowers have given Agent notice of the commencement of such contest and upon request by Agent, from time to time, notice of the status of such contest by Borrowers and/or confirmation of the continuing satisfaction of this definition; and (f) upon a final determination of such contest, Borrowers and their Subsidiaries shall promptly comply with the requirements thereof.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Contingent Obligations</w:t>
      </w:r>
      <w:r>
        <w:rPr>
          <w:rFonts w:ascii="Arial" w:cs="Arial" w:eastAsia="Arial" w:hAnsi="Arial"/>
          <w:sz w:val="18"/>
          <w:szCs w:val="18"/>
          <w:color w:val="auto"/>
        </w:rPr>
        <w:t>” means</w:t>
      </w:r>
    </w:p>
    <w:p>
      <w:pPr>
        <w:spacing w:after="0" w:line="229"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Obligations arising in respect of the Debt under the Financing Documents;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Obligations resulting from endorsements for collection or deposit in the Ordinary Course of Business;</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Contingent Obligations outstanding on the date of this Agreement and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(but not including any refinancings, extensions, increases or amendments to the indebtedness underlying such Contingent Obligations other than extensions of the maturity thereof without any other change in terms);</w:t>
      </w:r>
    </w:p>
    <w:p>
      <w:pPr>
        <w:spacing w:after="0" w:line="181"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Obligations incurred in the Ordinary Course of Business with respect to surety and appeal bonds, performance bonds and other similar obligations not to exceed $1,000,000 in the aggregate at any time outstanding;</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Obligations arising under indemnity agreements with title insurers to cause such title insurers to issue to Agent mortgagee title insurance policies;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Contingent Obligations arising with respect to customary indemnification obligations in favor of purchasers in connection with dispositions of personal property assets permitted under Section 5.6;</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1057" w:right="239" w:bottom="1440" w:gutter="0" w:footer="0" w:header="0"/>
        </w:sectPr>
      </w:pPr>
    </w:p>
    <w:bookmarkStart w:id="24" w:name="page25"/>
    <w:bookmarkEnd w:id="24"/>
    <w:p>
      <w:pPr>
        <w:jc w:val="both"/>
        <w:ind w:left="640" w:hanging="320"/>
        <w:spacing w:after="0" w:line="30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so long as there exists no Event of Default both immediately before and immediately after giving effect to any such transaction, Contingent Obligations existing or arising under any Swap Contract,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 and</w:t>
      </w:r>
    </w:p>
    <w:p>
      <w:pPr>
        <w:spacing w:after="0" w:line="154" w:lineRule="exact"/>
        <w:rPr>
          <w:rFonts w:ascii="Arial" w:cs="Arial" w:eastAsia="Arial" w:hAnsi="Arial"/>
          <w:sz w:val="16"/>
          <w:szCs w:val="16"/>
          <w:color w:val="auto"/>
        </w:rPr>
      </w:pPr>
    </w:p>
    <w:p>
      <w:pPr>
        <w:ind w:left="640" w:hanging="320"/>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Contingent Obligations not permitted by clauses (a) through (g) above, not to exceed $1,000,000 in the aggregate at any time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Debt</w:t>
      </w:r>
      <w:r>
        <w:rPr>
          <w:rFonts w:ascii="Arial" w:cs="Arial" w:eastAsia="Arial" w:hAnsi="Arial"/>
          <w:sz w:val="18"/>
          <w:szCs w:val="18"/>
          <w:color w:val="auto"/>
        </w:rPr>
        <w:t>” means:</w:t>
      </w:r>
    </w:p>
    <w:p>
      <w:pPr>
        <w:spacing w:after="0" w:line="229" w:lineRule="exact"/>
        <w:rPr>
          <w:sz w:val="20"/>
          <w:szCs w:val="20"/>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Borrowers’ and its Subsidiaries’ Debt to Agent and each Lender under this Agreement and the other Financing Documents;</w:t>
      </w:r>
    </w:p>
    <w:p>
      <w:pPr>
        <w:spacing w:after="0" w:line="225" w:lineRule="exact"/>
        <w:rPr>
          <w:rFonts w:ascii="Arial" w:cs="Arial" w:eastAsia="Arial" w:hAnsi="Arial"/>
          <w:sz w:val="18"/>
          <w:szCs w:val="18"/>
          <w:color w:val="auto"/>
        </w:rPr>
      </w:pPr>
    </w:p>
    <w:p>
      <w:pPr>
        <w:ind w:left="640" w:hanging="320"/>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money Debt not to exceed $1,000,000 at any time (whether in the form of a loan or a lease) used solely to acquire equipment used in the Ordinary Course of Business and secured only by such equipment;</w:t>
      </w:r>
    </w:p>
    <w:p>
      <w:pPr>
        <w:spacing w:after="0" w:line="170" w:lineRule="exact"/>
        <w:rPr>
          <w:rFonts w:ascii="Arial" w:cs="Arial" w:eastAsia="Arial" w:hAnsi="Arial"/>
          <w:sz w:val="18"/>
          <w:szCs w:val="18"/>
          <w:color w:val="auto"/>
        </w:rPr>
      </w:pPr>
    </w:p>
    <w:p>
      <w:pPr>
        <w:ind w:left="640" w:right="20" w:hanging="320"/>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Debt existing on the date of this Agreement and described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(but not including any refinancings, extensions, increases or amendments to such Debt other than extensions of the maturity thereof without any other change in terms);</w:t>
      </w:r>
    </w:p>
    <w:p>
      <w:pPr>
        <w:spacing w:after="0" w:line="170" w:lineRule="exact"/>
        <w:rPr>
          <w:rFonts w:ascii="Arial" w:cs="Arial" w:eastAsia="Arial" w:hAnsi="Arial"/>
          <w:sz w:val="18"/>
          <w:szCs w:val="18"/>
          <w:color w:val="auto"/>
        </w:rPr>
      </w:pPr>
    </w:p>
    <w:p>
      <w:pPr>
        <w:jc w:val="both"/>
        <w:ind w:left="640" w:hanging="320"/>
        <w:spacing w:after="0" w:line="279" w:lineRule="auto"/>
        <w:tabs>
          <w:tab w:leader="none" w:pos="6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so long as there exists no Event of Default both immediately before and immediately after giving effect to any such transaction, Debt existing or arising under any Swap Contract,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obligations are (or were) entered into by Borrower or an Affiliate in the Ordinary Course of Business for the purpose of directly mitigating risks associated with liabilities, commitments, investments, assets, or property held or reasonably anticipated by such Person and not for purposes of speculation;</w:t>
      </w:r>
    </w:p>
    <w:p>
      <w:pPr>
        <w:spacing w:after="0" w:line="171" w:lineRule="exact"/>
        <w:rPr>
          <w:rFonts w:ascii="Arial" w:cs="Arial" w:eastAsia="Arial" w:hAnsi="Arial"/>
          <w:sz w:val="17"/>
          <w:szCs w:val="17"/>
          <w:color w:val="auto"/>
        </w:rPr>
      </w:pPr>
    </w:p>
    <w:p>
      <w:pPr>
        <w:jc w:val="both"/>
        <w:ind w:left="640" w:hanging="320"/>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in the form of insurance premiums financed through the applicable insurance company so long as such Debt is, incurred only to defer the cost of such insurance for the policy year in which such Debt is incurred, such Debt is outstanding only during such policy year and the amount of such Debt is not in excess of the amount of the unpaid cost of such insurance;</w:t>
      </w:r>
    </w:p>
    <w:p>
      <w:pPr>
        <w:spacing w:after="0" w:line="181" w:lineRule="exact"/>
        <w:rPr>
          <w:rFonts w:ascii="Arial" w:cs="Arial" w:eastAsia="Arial" w:hAnsi="Arial"/>
          <w:sz w:val="18"/>
          <w:szCs w:val="18"/>
          <w:color w:val="auto"/>
        </w:rPr>
      </w:pPr>
    </w:p>
    <w:p>
      <w:pPr>
        <w:jc w:val="both"/>
        <w:ind w:left="640" w:hanging="320"/>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consisting of unsecured intercompany loans and advances incurred by (1) any Borrower owing to any Borrower, (2) any Borrower or any Guarantor owing to any Guarantor, (3) any Excluded Foreign Subsidiary and owing to any other Excluded Foreign Subsidiary, or (4) any Excluded Foreign Subsidiary owing to any Borrower so long as such Debt constitutes a Permitted Investment of the applicable Borrower pursuant to clause (i) of the definition of Permitted Investments</w:t>
      </w:r>
    </w:p>
    <w:p>
      <w:pPr>
        <w:spacing w:after="0" w:line="186" w:lineRule="exact"/>
        <w:rPr>
          <w:rFonts w:ascii="Arial" w:cs="Arial" w:eastAsia="Arial" w:hAnsi="Arial"/>
          <w:sz w:val="18"/>
          <w:szCs w:val="18"/>
          <w:color w:val="auto"/>
        </w:rPr>
      </w:pPr>
    </w:p>
    <w:p>
      <w:pPr>
        <w:ind w:left="640" w:hanging="320"/>
        <w:spacing w:after="0" w:line="34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Debt in respect of performance, surety or appeal bonds, workers’ compensation claims, self-insurance obligations and bankers acceptances issued for the account of any Credit Party or any Subsidiary, in each case, provided in the Ordinary Course of Business, and</w:t>
      </w:r>
    </w:p>
    <w:p>
      <w:pPr>
        <w:spacing w:after="0" w:line="37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0"/>
          </w:cols>
          <w:pgMar w:left="900" w:top="1057" w:right="239" w:bottom="1440" w:gutter="0" w:footer="0" w:header="0"/>
        </w:sectPr>
      </w:pPr>
    </w:p>
    <w:bookmarkStart w:id="25" w:name="page26"/>
    <w:bookmarkEnd w:id="25"/>
    <w:p>
      <w:pPr>
        <w:ind w:left="1300"/>
        <w:spacing w:after="0" w:line="277" w:lineRule="auto"/>
        <w:rPr>
          <w:sz w:val="20"/>
          <w:szCs w:val="20"/>
          <w:color w:val="auto"/>
        </w:rPr>
      </w:pPr>
      <w:r>
        <w:rPr>
          <w:rFonts w:ascii="Arial" w:cs="Arial" w:eastAsia="Arial" w:hAnsi="Arial"/>
          <w:sz w:val="18"/>
          <w:szCs w:val="18"/>
          <w:color w:val="auto"/>
        </w:rPr>
        <w:t>not to exceed $1,000,000 in the aggregate at any time outstanding, but excluding (in each case) Debt incurred through the borrowing of money;</w:t>
      </w:r>
    </w:p>
    <w:p>
      <w:pPr>
        <w:spacing w:after="0" w:line="170" w:lineRule="exact"/>
        <w:rPr>
          <w:sz w:val="20"/>
          <w:szCs w:val="20"/>
          <w:color w:val="auto"/>
        </w:rPr>
      </w:pPr>
    </w:p>
    <w:p>
      <w:pPr>
        <w:ind w:left="1300" w:hanging="320"/>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unsecured Debt of Borrower incurred under the 2022 Convertible Notes in an aggregate principal amount not to exceed the aggregate principal amount outstanding on the Closing Date; and</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Distributions</w:t>
      </w:r>
      <w:r>
        <w:rPr>
          <w:rFonts w:ascii="Arial" w:cs="Arial" w:eastAsia="Arial" w:hAnsi="Arial"/>
          <w:sz w:val="16"/>
          <w:szCs w:val="16"/>
          <w:color w:val="auto"/>
        </w:rPr>
        <w:t xml:space="preserve">” means the following Distributions: (a) dividends by any Subsidiary of any Borrower to such parent Borrower; (b) dividends paid by any Excluded Foreign Subsidiary to such Excluded Foreign Subsidiary’s parent; (c) dividends payable solely in common stock; (d) grants of options, restricted stock units or other customary forms of non-cash incentive or performance compensation to employees, consultants, directors or executives of a Borrower in the Ordinary Course of Business (including, for the avoidance of doubt, equity awards made as inducement grants pursuant to the Nasdaq Stock Market inducement grant exception in accordance with Nasdaq Listing Rule 5635(c)(4)), and (e) repurchases of stock of former employees, directors or consultants pursuant to stock purchase agreements so long as an Event of Default does not exist at the time of such repurchase and would not exist after giving effect to such repurchase,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repurchase does not exceed $1,000,000 in the aggregate per fiscal year.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means:</w:t>
      </w:r>
    </w:p>
    <w:p>
      <w:pPr>
        <w:spacing w:after="0" w:line="229"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Investments shown on </w:t>
      </w:r>
      <w:r>
        <w:rPr>
          <w:rFonts w:ascii="Arial" w:cs="Arial" w:eastAsia="Arial" w:hAnsi="Arial"/>
          <w:sz w:val="18"/>
          <w:szCs w:val="18"/>
          <w:u w:val="single" w:color="auto"/>
          <w:color w:val="auto"/>
        </w:rPr>
        <w:t>Schedule 5.7</w:t>
      </w:r>
      <w:r>
        <w:rPr>
          <w:rFonts w:ascii="Arial" w:cs="Arial" w:eastAsia="Arial" w:hAnsi="Arial"/>
          <w:sz w:val="18"/>
          <w:szCs w:val="18"/>
          <w:color w:val="auto"/>
        </w:rPr>
        <w:t xml:space="preserve"> and existing on the Closing Date;</w:t>
      </w:r>
    </w:p>
    <w:p>
      <w:pPr>
        <w:spacing w:after="0" w:line="225"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in cash, cash equivalents or marketable securities, consistent with the Recommended Investment Policy Guidelines of the Borrower as in effect on the Closing Date;</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Business;</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Borrowers or their Subsidiaries pursuant to employee stock purchase plans or agreements approved by Borrowers’ Board of Directors (or other governing body), but the aggregate of all such loans outstanding may not exceed $1,000,000 at any time;</w:t>
      </w:r>
    </w:p>
    <w:p>
      <w:pPr>
        <w:spacing w:after="0" w:line="186" w:lineRule="exact"/>
        <w:rPr>
          <w:rFonts w:ascii="Arial" w:cs="Arial" w:eastAsia="Arial" w:hAnsi="Arial"/>
          <w:sz w:val="18"/>
          <w:szCs w:val="18"/>
          <w:color w:val="auto"/>
        </w:rPr>
      </w:pPr>
    </w:p>
    <w:p>
      <w:pPr>
        <w:ind w:left="1300" w:right="20" w:hanging="320"/>
        <w:spacing w:after="0" w:line="308"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Investments consisting of notes receivable of, or prepaid royalties and other credit extensions, to customers and suppliers who are not Affiliates, in the Ordinary Course of Business,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subpart (f) shall not apply to Investments of Borrowers in any Subsidiary;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25" w:right="239" w:bottom="1440" w:gutter="0" w:footer="0" w:header="0"/>
        </w:sectPr>
      </w:pPr>
    </w:p>
    <w:bookmarkStart w:id="26" w:name="page27"/>
    <w:bookmarkEnd w:id="26"/>
    <w:p>
      <w:pPr>
        <w:ind w:left="640" w:hanging="320"/>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Agent has received a Deposit Account Control Agreement or Excluded Accounts (subject to limitations set forth in this Agreement with respect thereto);</w:t>
      </w:r>
    </w:p>
    <w:p>
      <w:pPr>
        <w:spacing w:after="0" w:line="170" w:lineRule="exact"/>
        <w:rPr>
          <w:rFonts w:ascii="Arial" w:cs="Arial" w:eastAsia="Arial" w:hAnsi="Arial"/>
          <w:sz w:val="18"/>
          <w:szCs w:val="18"/>
          <w:color w:val="auto"/>
        </w:rPr>
      </w:pPr>
    </w:p>
    <w:p>
      <w:pPr>
        <w:jc w:val="both"/>
        <w:ind w:left="640" w:hanging="320"/>
        <w:spacing w:after="0" w:line="25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by any Borrower in any Subsidiary (other than an Excluded Foreign Subsidiary) now owned or hereafter created by such Borrower, which Subsidiary is a Borrower or has provided a Guarantee of the Obligations of the Borrowers which Guarantee is secured by a Lien granted by such Subsidiary to Agent in all or substantially all of its property of the type described in Schedule 9.1 hereto and otherwise made in compliance with Section 4.11(d);</w:t>
      </w:r>
    </w:p>
    <w:p>
      <w:pPr>
        <w:spacing w:after="0" w:line="186" w:lineRule="exact"/>
        <w:rPr>
          <w:rFonts w:ascii="Arial" w:cs="Arial" w:eastAsia="Arial" w:hAnsi="Arial"/>
          <w:sz w:val="18"/>
          <w:szCs w:val="18"/>
          <w:color w:val="auto"/>
        </w:rPr>
      </w:pPr>
    </w:p>
    <w:p>
      <w:pPr>
        <w:jc w:val="both"/>
        <w:ind w:left="640" w:hanging="320"/>
        <w:spacing w:after="0" w:line="297"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Investments of cash and cash equivalents by a Borrower or Guarantor in an Excluded Foreign Subsidiary but solely to the extent that the aggregate amount of such Investments with respect to all Excluded Foreign Subsidiaries does not, at any time, exceed $5,000,000 in any twelve (12) month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aggregate amount of Investments made in any Excluded Foreign Subsidiary exceed the amount reasonably necessary to fund the current and three months’ forward operation of such Excluded Foreign Subsidiary (after taking into account their revenue from other sources);</w:t>
      </w:r>
    </w:p>
    <w:p>
      <w:pPr>
        <w:spacing w:after="0" w:line="158" w:lineRule="exact"/>
        <w:rPr>
          <w:rFonts w:ascii="Arial" w:cs="Arial" w:eastAsia="Arial" w:hAnsi="Arial"/>
          <w:sz w:val="16"/>
          <w:szCs w:val="16"/>
          <w:color w:val="auto"/>
        </w:rPr>
      </w:pPr>
    </w:p>
    <w:p>
      <w:pPr>
        <w:ind w:left="640" w:hanging="320"/>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Investments in the nature of pledges or deposits with respect to leases or utilities provided to third party non-Affiliates of the Credit Parties in the Ordinary Course of Business;</w:t>
      </w:r>
    </w:p>
    <w:p>
      <w:pPr>
        <w:spacing w:after="0" w:line="170" w:lineRule="exact"/>
        <w:rPr>
          <w:rFonts w:ascii="Arial" w:cs="Arial" w:eastAsia="Arial" w:hAnsi="Arial"/>
          <w:sz w:val="18"/>
          <w:szCs w:val="18"/>
          <w:color w:val="auto"/>
        </w:rPr>
      </w:pPr>
    </w:p>
    <w:p>
      <w:pPr>
        <w:ind w:left="640" w:hanging="320"/>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the extent constituting an Investment, the entering into of any Permitted License;</w:t>
      </w:r>
    </w:p>
    <w:p>
      <w:pPr>
        <w:spacing w:after="0" w:line="225"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 long as no Event of Default exists at the time of such Investment or after giving effect to such Investment, other Investments in an amount not exceeding $1,000,000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w:t>
      </w:r>
      <w:r>
        <w:rPr>
          <w:rFonts w:ascii="Arial" w:cs="Arial" w:eastAsia="Arial" w:hAnsi="Arial"/>
          <w:sz w:val="18"/>
          <w:szCs w:val="18"/>
          <w:color w:val="auto"/>
        </w:rPr>
        <w:t>” means:</w:t>
      </w:r>
    </w:p>
    <w:p>
      <w:pPr>
        <w:spacing w:after="0" w:line="229" w:lineRule="exact"/>
        <w:rPr>
          <w:sz w:val="20"/>
          <w:szCs w:val="20"/>
          <w:color w:val="auto"/>
        </w:rPr>
      </w:pPr>
    </w:p>
    <w:p>
      <w:pPr>
        <w:jc w:val="both"/>
        <w:ind w:left="640" w:hanging="320"/>
        <w:spacing w:after="0" w:line="26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non-exclusive license of patent rights of Borrower or its Subsidiaries so long as (i) all such Permitted Licenses are granted to third parties in the Ordinary Course of Business, (ii) do not result in a legal transfer of title to the licensed property, and (iii) have been granted in exchange for fair consideration;</w:t>
      </w:r>
    </w:p>
    <w:p>
      <w:pPr>
        <w:spacing w:after="0" w:line="177" w:lineRule="exact"/>
        <w:rPr>
          <w:rFonts w:ascii="Arial" w:cs="Arial" w:eastAsia="Arial" w:hAnsi="Arial"/>
          <w:sz w:val="18"/>
          <w:szCs w:val="18"/>
          <w:color w:val="auto"/>
        </w:rPr>
      </w:pPr>
    </w:p>
    <w:p>
      <w:pPr>
        <w:ind w:left="640" w:hanging="320"/>
        <w:spacing w:after="0" w:line="282"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licenses of patent rights granted by Borrower to PTC Therapeutics Holdings (Bermuda) Corp. Limited (“</w:t>
      </w:r>
      <w:r>
        <w:rPr>
          <w:rFonts w:ascii="Arial" w:cs="Arial" w:eastAsia="Arial" w:hAnsi="Arial"/>
          <w:sz w:val="18"/>
          <w:szCs w:val="18"/>
          <w:b w:val="1"/>
          <w:bCs w:val="1"/>
          <w:color w:val="auto"/>
        </w:rPr>
        <w:t>PTC Bermuda</w:t>
      </w:r>
      <w:r>
        <w:rPr>
          <w:rFonts w:ascii="Arial" w:cs="Arial" w:eastAsia="Arial" w:hAnsi="Arial"/>
          <w:sz w:val="18"/>
          <w:szCs w:val="18"/>
          <w:color w:val="auto"/>
        </w:rPr>
        <w:t>”) prior to the Closing Date pursuant to the License and R&amp;D Agreement, dated as of May 16, 2014;</w:t>
      </w:r>
    </w:p>
    <w:p>
      <w:pPr>
        <w:spacing w:after="0" w:line="165"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licenses of patent rights granted by PTC Bermuda to PTC Therapeutics International Limited prior to the Closing Date pursuant to the License Agreement, dated as of August 18, 2014;</w:t>
      </w:r>
    </w:p>
    <w:p>
      <w:pPr>
        <w:spacing w:after="0" w:line="170" w:lineRule="exact"/>
        <w:rPr>
          <w:rFonts w:ascii="Arial" w:cs="Arial" w:eastAsia="Arial" w:hAnsi="Arial"/>
          <w:sz w:val="18"/>
          <w:szCs w:val="18"/>
          <w:color w:val="auto"/>
        </w:rPr>
      </w:pPr>
    </w:p>
    <w:p>
      <w:pPr>
        <w:jc w:val="both"/>
        <w:ind w:left="640" w:hanging="320"/>
        <w:spacing w:after="0" w:line="31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exclusive license of patent rights of Borrower or its Subsidiaries granted to third parties so long as such Permitted Licenses (i) do not result in a legal transfer of title to the licensed property, (ii) are exclusive solely as to discrete geographical areas outside of the United States, Japan, France, Germany, Italy, Spain and the United Kingdom, and (iii) have been granted in exchange for fair consideration;</w:t>
      </w:r>
    </w:p>
    <w:p>
      <w:pPr>
        <w:spacing w:after="0" w:line="39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60"/>
          </w:cols>
          <w:pgMar w:left="900" w:top="1057" w:right="239" w:bottom="1440" w:gutter="0" w:footer="0" w:header="0"/>
        </w:sectPr>
      </w:pPr>
    </w:p>
    <w:bookmarkStart w:id="27" w:name="page28"/>
    <w:bookmarkEnd w:id="27"/>
    <w:p>
      <w:pPr>
        <w:jc w:val="both"/>
        <w:ind w:left="640" w:hanging="320"/>
        <w:spacing w:after="0" w:line="25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any license of patent rights of Borrower or its Subsidiaries granted to third parties so long as (i) such Permitted Licenses do not result in a legal transfer of title to the licensed property, (ii) the patent rights subject to such Permitted License relate solely to (A) discovery stage Products or assets, (B) preclinical Products or assets, or (C) clinical Products or assets other than Translarna or Emflaza Products or assets; and (iii) such Permitted Licenses have been granted in exchange for fair consideration;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the avoidance of doubt, no exclusive license of any patents rights related to (A) Translarna, (B) Emflaza or (C) any commercial Product or asset shall be permitted pursuant to this clause (e); and</w:t>
      </w:r>
    </w:p>
    <w:p>
      <w:pPr>
        <w:spacing w:after="0" w:line="193" w:lineRule="exact"/>
        <w:rPr>
          <w:rFonts w:ascii="Arial" w:cs="Arial" w:eastAsia="Arial" w:hAnsi="Arial"/>
          <w:sz w:val="18"/>
          <w:szCs w:val="18"/>
          <w:color w:val="auto"/>
        </w:rPr>
      </w:pPr>
    </w:p>
    <w:p>
      <w:pPr>
        <w:ind w:left="640" w:hanging="320"/>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granting of exclusive manufacturing rights to a third party in the Ordinary Course of Business so long as such licenses (i) do not result in a legal transfer of title to the licensed property, and (ii) have been granted in exchange for fair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229" w:lineRule="exact"/>
        <w:rPr>
          <w:sz w:val="20"/>
          <w:szCs w:val="20"/>
          <w:color w:val="auto"/>
        </w:rPr>
      </w:pPr>
    </w:p>
    <w:p>
      <w:pPr>
        <w:jc w:val="both"/>
        <w:ind w:left="640" w:hanging="320"/>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deposits or pledges of cash to secure obligations under workmen’s compensation, social security or similar laws, or under unemployment insurance (but excluding Liens arising under ERISA or, with respect to any Pension Plan or Multiemployer Plan, the Code) pertaining to a Borrower’s or its Subsidiary’s employees, if any;</w:t>
      </w:r>
    </w:p>
    <w:p>
      <w:pPr>
        <w:spacing w:after="0" w:line="181" w:lineRule="exact"/>
        <w:rPr>
          <w:rFonts w:ascii="Arial" w:cs="Arial" w:eastAsia="Arial" w:hAnsi="Arial"/>
          <w:sz w:val="18"/>
          <w:szCs w:val="18"/>
          <w:color w:val="auto"/>
        </w:rPr>
      </w:pPr>
    </w:p>
    <w:p>
      <w:pPr>
        <w:jc w:val="both"/>
        <w:ind w:left="640" w:hanging="320"/>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deposits or pledges of cash to secure bids, tenders, contracts (other than contracts for the payment of money or the deferred purchase price of property or services), leases, statutory obligations, surety and appeal bonds and other obligations of like nature arising in the Ordinary Course of Business;</w:t>
      </w:r>
    </w:p>
    <w:p>
      <w:pPr>
        <w:spacing w:after="0" w:line="181" w:lineRule="exact"/>
        <w:rPr>
          <w:rFonts w:ascii="Arial" w:cs="Arial" w:eastAsia="Arial" w:hAnsi="Arial"/>
          <w:sz w:val="18"/>
          <w:szCs w:val="18"/>
          <w:color w:val="auto"/>
        </w:rPr>
      </w:pPr>
    </w:p>
    <w:p>
      <w:pPr>
        <w:ind w:left="640" w:right="20" w:hanging="320"/>
        <w:spacing w:after="0" w:line="308"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carrier’s, warehousemen’s, mechanic’s, workmen’s, materialmen’s or other like Liens on Collateral arising in the Ordinary Course of Business with respect to obligations which are not due, or which are being contested pursuant to a Permitted Contest;</w:t>
      </w:r>
    </w:p>
    <w:p>
      <w:pPr>
        <w:spacing w:after="0" w:line="146" w:lineRule="exact"/>
        <w:rPr>
          <w:rFonts w:ascii="Arial" w:cs="Arial" w:eastAsia="Arial" w:hAnsi="Arial"/>
          <w:sz w:val="17"/>
          <w:szCs w:val="17"/>
          <w:color w:val="auto"/>
        </w:rPr>
      </w:pPr>
    </w:p>
    <w:p>
      <w:pPr>
        <w:ind w:left="640" w:hanging="320"/>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for taxes or other governmental charges not at the time delinquent or thereafter payable without penalty or the subject of a Permitted Contest;</w:t>
      </w:r>
    </w:p>
    <w:p>
      <w:pPr>
        <w:spacing w:after="0" w:line="170" w:lineRule="exact"/>
        <w:rPr>
          <w:rFonts w:ascii="Arial" w:cs="Arial" w:eastAsia="Arial" w:hAnsi="Arial"/>
          <w:sz w:val="18"/>
          <w:szCs w:val="18"/>
          <w:color w:val="auto"/>
        </w:rPr>
      </w:pPr>
    </w:p>
    <w:p>
      <w:pPr>
        <w:jc w:val="both"/>
        <w:ind w:left="640" w:hanging="320"/>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attachments, appeal bonds, judgments and other similar Liens, arising in connection with court proceedings not constituting an Event of Default under Section 10.1(h);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execution or other enforcement of such Liens is effectively stayed and the claims secured thereby are the subject of a Permitted Contest;</w:t>
      </w:r>
    </w:p>
    <w:p>
      <w:pPr>
        <w:spacing w:after="0" w:line="181" w:lineRule="exact"/>
        <w:rPr>
          <w:rFonts w:ascii="Arial" w:cs="Arial" w:eastAsia="Arial" w:hAnsi="Arial"/>
          <w:sz w:val="18"/>
          <w:szCs w:val="18"/>
          <w:color w:val="auto"/>
        </w:rPr>
      </w:pPr>
    </w:p>
    <w:p>
      <w:pPr>
        <w:jc w:val="both"/>
        <w:ind w:left="640" w:hanging="320"/>
        <w:spacing w:after="0" w:line="273"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with respect to real estate, easements, rights of way, restrictions, minor defects or irregularities of title, none of which, individually or in the aggregate, materially interfere with the benefits of the security intended to be provided by the Security Documents, materially affect the value or marketability of the Collateral, impair the use or operation of the Collateral for the use currently being made thereof or impair Borrowers’ ability to pay the Obligations in a timely manner or impair the use of the Collateral or the ordinary conduct of the business of any Borrower or any Subsidiary and which, in the case of any real estate that is part of the Collateral, are set forth as exceptions to or subordinate matters in the title insurance policy accepted by Agent insuring the lien of the Security Documents;</w:t>
      </w:r>
    </w:p>
    <w:p>
      <w:pPr>
        <w:spacing w:after="0" w:line="178" w:lineRule="exact"/>
        <w:rPr>
          <w:rFonts w:ascii="Arial" w:cs="Arial" w:eastAsia="Arial" w:hAnsi="Arial"/>
          <w:sz w:val="17"/>
          <w:szCs w:val="17"/>
          <w:color w:val="auto"/>
        </w:rPr>
      </w:pPr>
    </w:p>
    <w:p>
      <w:pPr>
        <w:ind w:left="640" w:hanging="320"/>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and encumbrances in favor of Agent under the Financing Documents;</w:t>
      </w:r>
    </w:p>
    <w:p>
      <w:pPr>
        <w:spacing w:after="0" w:line="200" w:lineRule="exact"/>
        <w:rPr>
          <w:sz w:val="20"/>
          <w:szCs w:val="20"/>
          <w:color w:val="auto"/>
        </w:rPr>
      </w:pPr>
    </w:p>
    <w:p>
      <w:pPr>
        <w:spacing w:after="0" w:line="27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60"/>
          </w:cols>
          <w:pgMar w:left="900" w:top="1057" w:right="239" w:bottom="1440" w:gutter="0" w:footer="0" w:header="0"/>
        </w:sectPr>
      </w:pPr>
    </w:p>
    <w:bookmarkStart w:id="28" w:name="page29"/>
    <w:bookmarkEnd w:id="28"/>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Liens existing on the date hereof and set forth on </w:t>
      </w:r>
      <w:r>
        <w:rPr>
          <w:rFonts w:ascii="Arial" w:cs="Arial" w:eastAsia="Arial" w:hAnsi="Arial"/>
          <w:sz w:val="18"/>
          <w:szCs w:val="18"/>
          <w:u w:val="single" w:color="auto"/>
          <w:color w:val="auto"/>
        </w:rPr>
        <w:t>Schedule 5.2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Lien on any equipment securing Debt permitted under subpart (c) of the definition of Permitted Debt,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 attaches concurrently with or within twenty (20) days after the acquisition thereof;</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that are rights of set-off, bankers’ liens or similar non-consensual Liens relating to deposit or securities accounts in favor of banks, other depositary institutions and securities intermediaries arising in the Ordinary Course of Business;</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relating solely to operating leases or consignments of personal property entered into the Ordinary Course of Business;</w:t>
      </w:r>
    </w:p>
    <w:p>
      <w:pPr>
        <w:spacing w:after="0" w:line="170"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 of a collection bank on items in the course of collection arising under Section 4-210 of the UCC or (ii) in favor of a banking or other financial institution arising in the ordinary course of business encumbering deposits or other funds maintained with such financial institution (including the right of setoff) and that are within the general parameters customary in the banking industry (and not securing any Debt for borrowed money);</w:t>
      </w:r>
    </w:p>
    <w:p>
      <w:pPr>
        <w:spacing w:after="0" w:line="186"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granted in the Ordinary Course of Business on the unearned portion of insurance premiums securing the financing of insurance premiums to the extent the financing is permitted by clause (f) of the definition of Permitted Debt;</w:t>
      </w:r>
    </w:p>
    <w:p>
      <w:pPr>
        <w:spacing w:after="0" w:line="170"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w:t>
      </w:r>
    </w:p>
    <w:p>
      <w:pPr>
        <w:spacing w:after="0" w:line="17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constituting a Lien, the granting of a Permitted License or the making of an Asset Disposition not otherwise prohibited pursuant to the terms of the Financing Documents.</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Modifications</w:t>
      </w:r>
      <w:r>
        <w:rPr>
          <w:rFonts w:ascii="Arial" w:cs="Arial" w:eastAsia="Arial" w:hAnsi="Arial"/>
          <w:sz w:val="18"/>
          <w:szCs w:val="18"/>
          <w:color w:val="auto"/>
        </w:rPr>
        <w:t>” means (a) such amendments or other modifications to a Borrower’s or Subsidiary’s Organizational Documents as are required under this Agreement or by applicable Law and fully disclosed to Agent within thirty (30) days after such amendments or modifications have become effective, and (b) such amendments or modifications to a Borrower’s or Subsidiary’s Organizational Documents (other than those involving a change in the name of a Borrower or Subsidiary or involving a reorganization of a Borrower or Subsidiary under the laws of a different jurisdiction) that would not adversely affect the rights and interests of Agent or Lenders and fully disclosed to Agent within thirty (30) days after such amendments or modifications have become effective.</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Governmental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Payroll Account Period</w:t>
      </w:r>
      <w:r>
        <w:rPr>
          <w:rFonts w:ascii="Arial" w:cs="Arial" w:eastAsia="Arial" w:hAnsi="Arial"/>
          <w:sz w:val="18"/>
          <w:szCs w:val="18"/>
          <w:color w:val="auto"/>
        </w:rPr>
        <w:t>” has the meaning set forth in Section 5.14(c).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Post-Closing Government Receivables Account Period</w:t>
      </w:r>
      <w:r>
        <w:rPr>
          <w:rFonts w:ascii="Arial" w:cs="Arial" w:eastAsia="Arial" w:hAnsi="Arial"/>
          <w:sz w:val="18"/>
          <w:szCs w:val="18"/>
          <w:color w:val="auto"/>
        </w:rPr>
        <w:t>” has the meaning set forth in Section 5.14(d).</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1057" w:right="239" w:bottom="1440" w:gutter="0" w:footer="0" w:header="0"/>
        </w:sectPr>
      </w:pPr>
    </w:p>
    <w:bookmarkStart w:id="29" w:name="page30"/>
    <w:bookmarkEnd w:id="2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Acquisition</w:t>
      </w:r>
      <w:r>
        <w:rPr>
          <w:rFonts w:ascii="Arial" w:cs="Arial" w:eastAsia="Arial" w:hAnsi="Arial"/>
          <w:sz w:val="18"/>
          <w:szCs w:val="18"/>
          <w:color w:val="auto"/>
        </w:rPr>
        <w:t>” means the acquisition by PTC, of certain Acquired Assets (as defined in the Purchase Agreement) pursuant to the terms of the Purchase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has the meaning set forth in Section 2.2.</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Products</w:t>
      </w:r>
      <w:r>
        <w:rPr>
          <w:rFonts w:ascii="Arial" w:cs="Arial" w:eastAsia="Arial" w:hAnsi="Arial"/>
          <w:sz w:val="17"/>
          <w:szCs w:val="17"/>
          <w:color w:val="auto"/>
        </w:rPr>
        <w:t xml:space="preserve">” means, from time to time, any products currently manufactured, sold, developed, tested or marketed by any Borrower or any of its Subsidiaries, including without limitation, those products set forth on </w:t>
      </w:r>
      <w:r>
        <w:rPr>
          <w:rFonts w:ascii="Arial" w:cs="Arial" w:eastAsia="Arial" w:hAnsi="Arial"/>
          <w:sz w:val="17"/>
          <w:szCs w:val="17"/>
          <w:u w:val="single" w:color="auto"/>
          <w:color w:val="auto"/>
        </w:rPr>
        <w:t>Schedule 4.17</w:t>
      </w:r>
      <w:r>
        <w:rPr>
          <w:rFonts w:ascii="Arial" w:cs="Arial" w:eastAsia="Arial" w:hAnsi="Arial"/>
          <w:sz w:val="17"/>
          <w:szCs w:val="17"/>
          <w:color w:val="auto"/>
        </w:rPr>
        <w:t xml:space="preserve"> (as updated from time to time in accordance with Section 4.15); provided, that, for the avoidance of doubt, any new Product not disclosed on </w:t>
      </w:r>
      <w:r>
        <w:rPr>
          <w:rFonts w:ascii="Arial" w:cs="Arial" w:eastAsia="Arial" w:hAnsi="Arial"/>
          <w:sz w:val="17"/>
          <w:szCs w:val="17"/>
          <w:u w:val="single" w:color="auto"/>
          <w:color w:val="auto"/>
        </w:rPr>
        <w:t>Schedule 4.17</w:t>
      </w:r>
      <w:r>
        <w:rPr>
          <w:rFonts w:ascii="Arial" w:cs="Arial" w:eastAsia="Arial" w:hAnsi="Arial"/>
          <w:sz w:val="17"/>
          <w:szCs w:val="17"/>
          <w:color w:val="auto"/>
        </w:rPr>
        <w:t xml:space="preserve"> shall still constitute a “Product” as herein defined.</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Rata Share</w:t>
      </w:r>
      <w:r>
        <w:rPr>
          <w:rFonts w:ascii="Arial" w:cs="Arial" w:eastAsia="Arial" w:hAnsi="Arial"/>
          <w:sz w:val="16"/>
          <w:szCs w:val="16"/>
          <w:color w:val="auto"/>
        </w:rPr>
        <w:t>” means (a) with respect to a Lender’s obligation to make advances in respect of a Term Loan and such Lender’s right to receive payments of principal and interest with respect to the Term Loans, the Term Loan Commitment Percentage of such Lender in respect of such Term Loan, and</w:t>
      </w:r>
    </w:p>
    <w:p>
      <w:pPr>
        <w:spacing w:after="0" w:line="1" w:lineRule="exact"/>
        <w:rPr>
          <w:sz w:val="20"/>
          <w:szCs w:val="20"/>
          <w:color w:val="auto"/>
        </w:rPr>
      </w:pPr>
    </w:p>
    <w:p>
      <w:pPr>
        <w:jc w:val="both"/>
        <w:ind w:firstLine="8"/>
        <w:spacing w:after="0" w:line="295" w:lineRule="auto"/>
        <w:tabs>
          <w:tab w:leader="none" w:pos="256"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for all other purposes (including, without limitation, the indemnification obligations arising under Section 11.6) with respect to any Lender, the percentage obtained by </w:t>
      </w:r>
      <w:r>
        <w:rPr>
          <w:rFonts w:ascii="Arial" w:cs="Arial" w:eastAsia="Arial" w:hAnsi="Arial"/>
          <w:sz w:val="16"/>
          <w:szCs w:val="16"/>
          <w:i w:val="1"/>
          <w:iCs w:val="1"/>
          <w:color w:val="auto"/>
        </w:rPr>
        <w:t>dividing</w:t>
      </w:r>
      <w:r>
        <w:rPr>
          <w:rFonts w:ascii="Arial" w:cs="Arial" w:eastAsia="Arial" w:hAnsi="Arial"/>
          <w:sz w:val="16"/>
          <w:szCs w:val="16"/>
          <w:color w:val="auto"/>
        </w:rPr>
        <w:t xml:space="preserve"> (i) the Term Loan Commitment Amount of such Lender (or, in the event the Term Loan Commitment shall have been terminated, such Lender’s then outstanding principal advances of such Lender under the Term Loan), </w:t>
      </w:r>
      <w:r>
        <w:rPr>
          <w:rFonts w:ascii="Arial" w:cs="Arial" w:eastAsia="Arial" w:hAnsi="Arial"/>
          <w:sz w:val="16"/>
          <w:szCs w:val="16"/>
          <w:i w:val="1"/>
          <w:iCs w:val="1"/>
          <w:color w:val="auto"/>
        </w:rPr>
        <w:t>by</w:t>
      </w:r>
      <w:r>
        <w:rPr>
          <w:rFonts w:ascii="Arial" w:cs="Arial" w:eastAsia="Arial" w:hAnsi="Arial"/>
          <w:sz w:val="16"/>
          <w:szCs w:val="16"/>
          <w:color w:val="auto"/>
        </w:rPr>
        <w:t xml:space="preserve"> (ii) the sum of the Term Loan Commitment (or, in the event the Term Loan Commitment shall have been terminated, the then outstanding principal advances of such Lenders under the Term Loan) of all Lenders.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PTC</w:t>
      </w:r>
      <w:r>
        <w:rPr>
          <w:rFonts w:ascii="Arial" w:cs="Arial" w:eastAsia="Arial" w:hAnsi="Arial"/>
          <w:sz w:val="18"/>
          <w:szCs w:val="18"/>
          <w:color w:val="auto"/>
        </w:rPr>
        <w:t>” has the meaning set forth in the introductory paragraph hereto.</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Agreement</w:t>
      </w:r>
      <w:r>
        <w:rPr>
          <w:rFonts w:ascii="Arial" w:cs="Arial" w:eastAsia="Arial" w:hAnsi="Arial"/>
          <w:sz w:val="17"/>
          <w:szCs w:val="17"/>
          <w:color w:val="auto"/>
        </w:rPr>
        <w:t>” means that certain Asset Purchase Agreement, dated as of March 15, 2017, among PTC and Marathon Pharmaceuticals, LLC, pursuant to which PTC acquired certain Acquired Assets (as defined therein) and consummated the Pre-Closing Acquisition.</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Recall</w:t>
      </w:r>
      <w:r>
        <w:rPr>
          <w:rFonts w:ascii="Arial" w:cs="Arial" w:eastAsia="Arial" w:hAnsi="Arial"/>
          <w:sz w:val="18"/>
          <w:szCs w:val="18"/>
          <w:color w:val="auto"/>
        </w:rPr>
        <w:t>” means a Person’s Removal or Correction of a marketed product that the FDA considers to be in violation of the laws it administers and against which the FDA would initiate legal action, e.g., seizure.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means any patent, registered trademark or servicemark, registered copyright, registered mask work, or any pending application for any of the foregoing.</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Regulatory Required Permit</w:t>
      </w:r>
      <w:r>
        <w:rPr>
          <w:rFonts w:ascii="Arial" w:cs="Arial" w:eastAsia="Arial" w:hAnsi="Arial"/>
          <w:sz w:val="17"/>
          <w:szCs w:val="17"/>
          <w:color w:val="auto"/>
        </w:rPr>
        <w:t>” means any and all licenses, approvals and permits issued by the FDA, DEA or any other applicable Governmental Authority, including without limitation Drug Applications, necessary for the testing, manufacture, marketing or sale of any Product by any applicable Borrower(s) and its Subsidiaries as such activities are being conducted by such Borrower and its Subsidiaries with respect to such Product at such time and any drug listings and drug establishment registrations under 21 U.S.C. Section 510, registrations issued by DEA under 21 U.S.C. Section 823 (if applicable to any Product), and those issued by State governments for the conduct of Borrower’s or any Subsidiary’s business.</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w:t>
      </w:r>
      <w:r>
        <w:rPr>
          <w:rFonts w:ascii="Arial" w:cs="Arial" w:eastAsia="Arial" w:hAnsi="Arial"/>
          <w:sz w:val="18"/>
          <w:szCs w:val="18"/>
          <w:color w:val="auto"/>
        </w:rPr>
        <w:t>” means the physical removal of a product from its point of use to some other location for repair, modification, adjustment, relabeling, destruction, or inspection.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means at any time Lenders holding (a) sixty percent (60%) or more of the sum of the Term Loan Commitment (taken as a whole), or (b) if the Term Loan Commitment has been terminated, sixty percent (60%) or more of the then aggregate outstanding principal balance of the Loans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1053" w:right="239" w:bottom="1440" w:gutter="0" w:footer="0" w:header="0"/>
        </w:sectPr>
      </w:pPr>
    </w:p>
    <w:bookmarkStart w:id="30" w:name="page31"/>
    <w:bookmarkEnd w:id="30"/>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any of the Chief Executive Officer, Chief Financial Officer or any other officer of the applicable Borrower acceptable to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means a “securities account” (as defined in Article 9 of the UCC), an investment account, or other account in which investment property or securities are held or invested for credit to or for the benefit of any Borrower.</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 Control Agreement</w:t>
      </w:r>
      <w:r>
        <w:rPr>
          <w:rFonts w:ascii="Arial" w:cs="Arial" w:eastAsia="Arial" w:hAnsi="Arial"/>
          <w:sz w:val="18"/>
          <w:szCs w:val="18"/>
          <w:color w:val="auto"/>
        </w:rPr>
        <w:t>” means an agreement, in form and substance reasonably satisfactory to Agent, among Agent, any applicable Borrower and each securities intermediary in which such Borrower maintains a Securities Account pursuant to which Agent shall obtain “control” (as defined in Article 9 of the UCC) over such Securities Account.</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w:t>
      </w:r>
      <w:r>
        <w:rPr>
          <w:rFonts w:ascii="Arial" w:cs="Arial" w:eastAsia="Arial" w:hAnsi="Arial"/>
          <w:sz w:val="17"/>
          <w:szCs w:val="17"/>
          <w:color w:val="auto"/>
        </w:rPr>
        <w:t>” means this Agreement and any other agreement, document or instrument executed concurrently herewith or at any time hereafter pursuant to which one or more Credit Parties or any other Person either (a) Guarantees payment or performance of all or any portion of the Obligations, and/or (b) provides, as security for all or any portion of the Obligations, a Lien on any of its assets in favor of Agent for its own benefit and the benefit of the Lenders, as any or all of the same may be amended, supplemented, restated or otherwise modified from time to time.</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Person, that such Person (a) owns and will own assets the fair saleable value of which are (i) greater than the total amount of its debts and liabilities (including subordinated and Contingent Obligations), and (ii) greater than the amount that will be required to pay the probable liabilities of its then existing debts as they become absolute and matured considering all financing alternatives and potential asset sales reasonably available to it; (b) has capital that is not unreasonably small in relation to its business as presently conducted or after giving effect to any contemplated transaction; and (c) does not intend to incur and does not believe that it will incur debts beyond its ability to pay such debts as they become due.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Rate</w:t>
      </w:r>
      <w:r>
        <w:rPr>
          <w:rFonts w:ascii="Arial" w:cs="Arial" w:eastAsia="Arial" w:hAnsi="Arial"/>
          <w:sz w:val="18"/>
          <w:szCs w:val="18"/>
          <w:color w:val="auto"/>
        </w:rPr>
        <w:t>” has the meaning set forth in Section 2.7.</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means any Debt of Borrowers incurred pursuant to the terms of the Subordinated Debt Documents and with the prior written consent of Agent, all of which documents must be in form and substance acceptable to Agent in its sole discretion. As of the Closing Date, there is no Subordinated Debt.</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Debt Documents</w:t>
      </w:r>
      <w:r>
        <w:rPr>
          <w:rFonts w:ascii="Arial" w:cs="Arial" w:eastAsia="Arial" w:hAnsi="Arial"/>
          <w:sz w:val="16"/>
          <w:szCs w:val="16"/>
          <w:color w:val="auto"/>
        </w:rPr>
        <w:t>” means any documents evidencing and/or securing Debt governed by a Subordination Agreement, all of which documents must be in form and substance acceptable to Agent in its sole discretion. As of the Closing Date, there are no Subordinated Debt Documents.</w:t>
      </w:r>
    </w:p>
    <w:p>
      <w:pPr>
        <w:spacing w:after="0" w:line="11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means any agreement between Agent and another creditor of Borrowers, as the same may be amended, supplemented, restated or otherwise modified from time to time in accordance with the terms thereof, pursuant to which the Debt owing from any Borrower(s) and/or the Liens securing such Debt granted by any Borrower(s) to such creditor are subordinated in any way to the Obligations and the Liens created under the Security Documents, the terms and provisions of such Subordination Agreements to have been agreed to by and be acceptable to Agent in the exercise of its sole discretion.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1053" w:right="239" w:bottom="1440" w:gutter="0" w:footer="0" w:header="0"/>
        </w:sectPr>
      </w:pPr>
    </w:p>
    <w:bookmarkStart w:id="31" w:name="page32"/>
    <w:bookmarkEnd w:id="31"/>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 any corporation (or any foreign equivalent thereof) of which an aggregate of more than fifty percent (50%) of the outstanding capital stock having ordinary voting power to elect a majority of the board of directors of such corporation (irrespective of whether, at the time, capital stock of any other class or classes of such corporation shall have or might have voting power by reason of the happening of any contingency) is at the time, directly or indirectly, owned legally or beneficially by such Person or one or more Subsidiaries of such Person, or with respect to which any such Person has the right to vote or designate the vote of more than fifty percent (50%) of such capital stock whether by proxy, agreement, operation of law or otherwise, and (b) any partnership or limited liability company (or any foreign equivalents thereof) in which such Person and/or one or more Subsidiaries of such Person shall have an interest (whether in the form of voting or participation in profits or capital contribution) of more than fifty percent (50%) or of which any such Person is a general partner or may exercise the powers of a general partner. Unless the context otherwise requires, each reference to a Subsidiary shall be a reference to a Subsidiary of a Borrower and, for the avoidance of doubt, each of Borrower’s Subsidiaries as of the Closing Date is listed on Schedule 3.23.</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any “swap agreement”, as defined in Section 101 of the Bankruptcy Code, that is obtained by Borrower to provide protection against fluctuations in interest or currency exchange rates, but only if Agent provides its prior written consent to the entry into such “swap agreement”.</w:t>
      </w:r>
    </w:p>
    <w:p>
      <w:pPr>
        <w:spacing w:after="0" w:line="17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means the earlier to occur of (a) the Maturity Date, (b) any date on which Agent accelerates the maturity of the Loans pursuant to Section 10.2, or (c) the termination date stated in any notice of termination of this Agreement provided by Borrowers in accordance with Section 2.12.</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collectively, the Term Loan Tranche 1 and the Term Loan Tranche 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means the sum of each Lender’s Term Loan Commitment Amount, which is equal to $60,000,000.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Amount</w:t>
      </w:r>
      <w:r>
        <w:rPr>
          <w:rFonts w:ascii="Arial" w:cs="Arial" w:eastAsia="Arial" w:hAnsi="Arial"/>
          <w:sz w:val="18"/>
          <w:szCs w:val="18"/>
          <w:color w:val="auto"/>
        </w:rPr>
        <w:t>” means, with respect to each Lender, the sum of such Lender’s Term Loan Tranche 1 Commitment Amount and Term Loan Tranche 2 Commitment Amount.</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means, as to any Lender with respect to each of such Lender’s Term Loan Commitments, (a) on the Closing Date with respect to each tranche of the Term Loan, the applicable percentage set forth opposite such Lender’s name on the Commitment Annex under the column “Term Loan Tranche 1 Commitment Percentage” and “Term Loan Tranche 2 Commitment percentage” (if such Lender’s name is not so set forth thereon, then, on the Closing Date, such percentage for such Lender shall be deemed to be zero), and (b) on any date following the Closing Date, as applicable to each tranche of Term Loan, the percentage equal to (i) the Term Loan Tranche 1 Commitment of such Lender on such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Term Loan Tranche 1 Commitments on such date or (ii) the Term Loan Tranche 2 Commitment of such Lender on such date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aggregate Term Loan Tranche 2 Commitments on such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1</w:t>
      </w:r>
      <w:r>
        <w:rPr>
          <w:rFonts w:ascii="Arial" w:cs="Arial" w:eastAsia="Arial" w:hAnsi="Arial"/>
          <w:sz w:val="18"/>
          <w:szCs w:val="18"/>
          <w:color w:val="auto"/>
        </w:rPr>
        <w:t>” has the meaning set forth in Section 2.1(a)(i)(A).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1 Commitment Amount</w:t>
      </w:r>
      <w:r>
        <w:rPr>
          <w:rFonts w:ascii="Arial" w:cs="Arial" w:eastAsia="Arial" w:hAnsi="Arial"/>
          <w:sz w:val="18"/>
          <w:szCs w:val="18"/>
          <w:color w:val="auto"/>
        </w:rPr>
        <w:t>” means, with respect to each Lender, the amount set forth opposite such Lender’s name on Annex A hereto under the caption “Term Loan Tranche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053" w:right="2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color w:val="auto"/>
        </w:rPr>
        <w:t>1 Commitment Amount”, as amended from time to time to reflect any permitted and effective assignments and as such amount may be reduced or terminated pursuant to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1 Commitments</w:t>
      </w:r>
      <w:r>
        <w:rPr>
          <w:rFonts w:ascii="Arial" w:cs="Arial" w:eastAsia="Arial" w:hAnsi="Arial"/>
          <w:sz w:val="18"/>
          <w:szCs w:val="18"/>
          <w:color w:val="auto"/>
        </w:rPr>
        <w:t>” means the sum of each Lender’s Term Loan Tranche 1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2</w:t>
      </w:r>
      <w:r>
        <w:rPr>
          <w:rFonts w:ascii="Arial" w:cs="Arial" w:eastAsia="Arial" w:hAnsi="Arial"/>
          <w:sz w:val="18"/>
          <w:szCs w:val="18"/>
          <w:color w:val="auto"/>
        </w:rPr>
        <w:t>” has meaning set forth in Section 2.1(a)(ii)(B).</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Tranche 2 Activation Date</w:t>
      </w:r>
      <w:r>
        <w:rPr>
          <w:rFonts w:ascii="Arial" w:cs="Arial" w:eastAsia="Arial" w:hAnsi="Arial"/>
          <w:sz w:val="16"/>
          <w:szCs w:val="16"/>
          <w:color w:val="auto"/>
        </w:rPr>
        <w:t>” means the date, if any, on which the Agent receives a Compliance Certificate delivered in accordance with Section 4.1, and such other documentation and information as Agent may reasonably request, evidencing to Agent’s reasonable satisfaction that Borrower’s Net Product Revenue for the twelve (12) month period immediately preceding such date is greater than or equal to $120,000,000.</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2 Commitment Amount</w:t>
      </w:r>
      <w:r>
        <w:rPr>
          <w:rFonts w:ascii="Arial" w:cs="Arial" w:eastAsia="Arial" w:hAnsi="Arial"/>
          <w:sz w:val="18"/>
          <w:szCs w:val="18"/>
          <w:color w:val="auto"/>
        </w:rPr>
        <w:t>” means, with respect to each Lender, the amount set forth opposite such Lender’s name on Annex A hereto under the caption “Term Loan Tranche 2 Commitment Amount”, as amended from time to time to reflect any permitted and effective assignments and as such amount may be reduced or terminated pursuant to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2 Commitment Termination Date</w:t>
      </w:r>
      <w:r>
        <w:rPr>
          <w:rFonts w:ascii="Arial" w:cs="Arial" w:eastAsia="Arial" w:hAnsi="Arial"/>
          <w:sz w:val="18"/>
          <w:szCs w:val="18"/>
          <w:color w:val="auto"/>
        </w:rPr>
        <w:t>” means the earlier of (a) December 31, 2018 and (b) the Termination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2 Commitments</w:t>
      </w:r>
      <w:r>
        <w:rPr>
          <w:rFonts w:ascii="Arial" w:cs="Arial" w:eastAsia="Arial" w:hAnsi="Arial"/>
          <w:sz w:val="18"/>
          <w:szCs w:val="18"/>
          <w:color w:val="auto"/>
        </w:rPr>
        <w:t>” means the sum of each Lender’s Term Loan Tranche 2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Tranche 2 Funding Date</w:t>
      </w:r>
      <w:r>
        <w:rPr>
          <w:rFonts w:ascii="Arial" w:cs="Arial" w:eastAsia="Arial" w:hAnsi="Arial"/>
          <w:sz w:val="18"/>
          <w:szCs w:val="18"/>
          <w:color w:val="auto"/>
        </w:rPr>
        <w:t>” has the meaning set forth in Section 2.1(a)(ii)(B).</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Third Party Payor</w:t>
      </w:r>
      <w:r>
        <w:rPr>
          <w:rFonts w:ascii="Arial" w:cs="Arial" w:eastAsia="Arial" w:hAnsi="Arial"/>
          <w:sz w:val="17"/>
          <w:szCs w:val="17"/>
          <w:color w:val="auto"/>
        </w:rPr>
        <w:t>” means Medicare, Medicaid, TRICARE, and other state or federal health care program, Blue Cross and/or Blue Shield, private insurers, managed care plans and any other Person or entity which presently or in the future maintains Third Party Payor Programs.</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 Programs</w:t>
      </w:r>
      <w:r>
        <w:rPr>
          <w:rFonts w:ascii="Arial" w:cs="Arial" w:eastAsia="Arial" w:hAnsi="Arial"/>
          <w:sz w:val="18"/>
          <w:szCs w:val="18"/>
          <w:color w:val="auto"/>
        </w:rPr>
        <w:t>” means all payment and reimbursement programs, sponsored by a Third Party Payor, in which a Borrower participates.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Documents</w:t>
      </w:r>
      <w:r>
        <w:rPr>
          <w:rFonts w:ascii="Arial" w:cs="Arial" w:eastAsia="Arial" w:hAnsi="Arial"/>
          <w:sz w:val="18"/>
          <w:szCs w:val="18"/>
          <w:color w:val="auto"/>
        </w:rPr>
        <w:t>” means the Purchase Agreement, including the exhibits and schedules thereto, and all agreements, documents and instruments executed and delivered pursuant thereto or in connection therewith.</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TRICARE</w:t>
      </w:r>
      <w:r>
        <w:rPr>
          <w:rFonts w:ascii="Arial" w:cs="Arial" w:eastAsia="Arial" w:hAnsi="Arial"/>
          <w:sz w:val="18"/>
          <w:szCs w:val="18"/>
          <w:color w:val="auto"/>
        </w:rPr>
        <w:t>” means the program administered pursuant to 10 U.S.C. Section 1071 et. seq), Sections 1320a-7 and 1320a-7a of Title 42 of the United States Code and the regulations promulgated pursuant to such statutes.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the State of New York or of any other state the laws of which are required to be applied in connection with the perfection of security interests in any Collateral.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2.8(c)(i).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any Borrower or Agent.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Accounting Terms and Determinations</w:t>
      </w:r>
      <w:r>
        <w:rPr>
          <w:rFonts w:ascii="Arial" w:cs="Arial" w:eastAsia="Arial" w:hAnsi="Arial"/>
          <w:sz w:val="18"/>
          <w:szCs w:val="18"/>
          <w:color w:val="auto"/>
        </w:rPr>
        <w:t>. Unless otherwise specified herein, all accounting terms used herein shall be interpreted, all accounting determinations hereunder (including, without limitation, determinations made pursuant to the exhibits hereto) shall be made, and all financial statements required to be delivered hereunder shall be prepared on a consolidated basis in accordance with GAAP applied on a basis consistent with the most recent audited consolidated financial statements of each Borrower and its Consolidated Subsidiaries delivered to Agent and each of the Lenders on or prior to the Closing Date. If at any time any change in GAAP would affect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25" w:right="239" w:bottom="1440" w:gutter="0" w:footer="0" w:header="0"/>
        </w:sectPr>
      </w:pPr>
    </w:p>
    <w:bookmarkStart w:id="33" w:name="page34"/>
    <w:bookmarkEnd w:id="33"/>
    <w:p>
      <w:pPr>
        <w:jc w:val="both"/>
        <w:spacing w:after="0" w:line="270" w:lineRule="auto"/>
        <w:rPr>
          <w:sz w:val="20"/>
          <w:szCs w:val="20"/>
          <w:color w:val="auto"/>
        </w:rPr>
      </w:pPr>
      <w:r>
        <w:rPr>
          <w:rFonts w:ascii="Arial" w:cs="Arial" w:eastAsia="Arial" w:hAnsi="Arial"/>
          <w:sz w:val="17"/>
          <w:szCs w:val="17"/>
          <w:color w:val="auto"/>
        </w:rPr>
        <w:t xml:space="preserve">computation of any financial ratio or financial requirement set forth in any Financing Document, and either Borrowers or the Required Lenders shall so request, Agent, the Lenders and Borrowers shall negotiate in good faith to amend such ratio or requirement to preserve the original intent thereof in light of such change in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until so amended, (a) such ratio or requirement shall continue to be computed in accordance with GAAP prior to such change therein and (b) Borrowers shall provide to Agent and the Lenders financial statements and other documents required under this Agreement which include a reconciliation between calculations of such ratio or requirement made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any election under Statement of Financial Accounting Standards 159 (or any other Financial Accounting Standard having a similar result or effect) to value any Debt or other liabilities of any Credit Party or any Subsidiary of any Credit Party at “fair value”, as defined therein.</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Other Definitional and Interpretive Provisions</w:t>
      </w:r>
      <w:r>
        <w:rPr>
          <w:rFonts w:ascii="Arial" w:cs="Arial" w:eastAsia="Arial" w:hAnsi="Arial"/>
          <w:sz w:val="16"/>
          <w:szCs w:val="16"/>
          <w:color w:val="auto"/>
        </w:rPr>
        <w:t>. References in this Agreement to “Articles”, “Sections”, “Annexes”, “Exhibits”, or “Schedules” shall be to Articles, Sections, Annexes, Exhibits or Schedules of or to this Agreement unless otherwise specifically provided. Any term defined herein may be used in the singular or plural. “Include”, “includes” and “including” shall be deemed to be followed by “without limitation”. Except as otherwise specified or limited herein, references to any Person include the successors and assigns of such Person. References “from” or “through” any date mean, unless otherwise specified, “from and including” or “through and including”, respectively. Unless otherwise specified herein, the settlement of all payments and fundings hereunder between or among the parties hereto shall be made in lawful money of the United States and in immediately available funds. References to any statute or act shall include all related current regulations and all amendments and any successor statutes, acts and regulations. All amounts used for purposes of financial calculations required to be made herein shall be without duplication. References to any statute or act, without additional reference, shall be deemed to refer to federal statutes and acts of the United States. References to any agreement, instrument or document shall include all schedules, exhibits, annexes and other attachments thereto. As used in this Agreement, the meaning of the term “material” or the phrase “in all material respects” is intended to refer to an act, omission, violation or condition which reflects or would reasonably be expected to result in a Material Adverse Effect. References to capitalized terms that are not defined herein, but are defined in the UCC, shall have the meanings given them in the UCC. All references herein to times of day shall be references to daylight or standard time, as applicable.</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Time is of the Essence</w:t>
      </w:r>
      <w:r>
        <w:rPr>
          <w:rFonts w:ascii="Arial" w:cs="Arial" w:eastAsia="Arial" w:hAnsi="Arial"/>
          <w:sz w:val="18"/>
          <w:szCs w:val="18"/>
          <w:color w:val="auto"/>
        </w:rPr>
        <w:t>. Time is of the essence in Borrower’s and each other Credit Party’s performance under this Agreement and all other Financing Documents.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LOANS</w:t>
      </w:r>
    </w:p>
    <w:p>
      <w:pPr>
        <w:spacing w:after="0" w:line="229"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w:t>
      </w:r>
    </w:p>
    <w:p>
      <w:pPr>
        <w:spacing w:after="0" w:line="225" w:lineRule="exact"/>
        <w:rPr>
          <w:sz w:val="20"/>
          <w:szCs w:val="20"/>
          <w:color w:val="auto"/>
        </w:rPr>
      </w:pPr>
    </w:p>
    <w:p>
      <w:pPr>
        <w:ind w:left="1760" w:hanging="374"/>
        <w:spacing w:after="0"/>
        <w:tabs>
          <w:tab w:leader="none" w:pos="17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Term Loans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300" w:hanging="347"/>
        <w:spacing w:after="0"/>
        <w:tabs>
          <w:tab w:leader="none" w:pos="230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Term Loan Amounts</w:t>
      </w:r>
      <w:r>
        <w:rPr>
          <w:rFonts w:ascii="Arial" w:cs="Arial" w:eastAsia="Arial" w:hAnsi="Arial"/>
          <w:sz w:val="18"/>
          <w:szCs w:val="18"/>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25" w:right="239" w:bottom="1440" w:gutter="0" w:footer="0" w:header="0"/>
        </w:sectPr>
      </w:pPr>
    </w:p>
    <w:bookmarkStart w:id="34" w:name="page35"/>
    <w:bookmarkEnd w:id="34"/>
    <w:p>
      <w:pPr>
        <w:jc w:val="both"/>
        <w:ind w:left="100" w:firstLine="1301"/>
        <w:spacing w:after="0" w:line="276" w:lineRule="auto"/>
        <w:tabs>
          <w:tab w:leader="none" w:pos="18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On the terms and subject to the conditions set forth herein and in the other Financing Documents, each Lender with a Term Loan Tranche 1 Commitment severally hereby agrees to make to Borrowers a term loan on the Closing Date in an original aggregate principal amount equal to the Term Loan Tranche 1 Commitment (the “</w:t>
      </w:r>
      <w:r>
        <w:rPr>
          <w:rFonts w:ascii="Arial" w:cs="Arial" w:eastAsia="Arial" w:hAnsi="Arial"/>
          <w:sz w:val="17"/>
          <w:szCs w:val="17"/>
          <w:b w:val="1"/>
          <w:bCs w:val="1"/>
          <w:color w:val="auto"/>
        </w:rPr>
        <w:t>Term Loan Tranche 1</w:t>
      </w:r>
      <w:r>
        <w:rPr>
          <w:rFonts w:ascii="Arial" w:cs="Arial" w:eastAsia="Arial" w:hAnsi="Arial"/>
          <w:sz w:val="17"/>
          <w:szCs w:val="17"/>
          <w:color w:val="auto"/>
        </w:rPr>
        <w:t>”). Each such Lender’s obligation to fund the Term Loan Tranche 1 shall be limited to such Lender’s Term Loan Tranche 1 Commitment Percentage, and no Lender shall have any obligation to fund any portion of any Term Loan required to be funded by any other Lender, but not so funded.</w:t>
      </w:r>
    </w:p>
    <w:p>
      <w:pPr>
        <w:spacing w:after="0" w:line="172" w:lineRule="exact"/>
        <w:rPr>
          <w:rFonts w:ascii="Arial" w:cs="Arial" w:eastAsia="Arial" w:hAnsi="Arial"/>
          <w:sz w:val="17"/>
          <w:szCs w:val="17"/>
          <w:color w:val="auto"/>
        </w:rPr>
      </w:pPr>
    </w:p>
    <w:p>
      <w:pPr>
        <w:jc w:val="both"/>
        <w:ind w:left="100" w:firstLine="1301"/>
        <w:spacing w:after="0" w:line="289" w:lineRule="auto"/>
        <w:tabs>
          <w:tab w:leader="none" w:pos="1830" w:val="left"/>
        </w:tabs>
        <w:numPr>
          <w:ilvl w:val="1"/>
          <w:numId w:val="29"/>
        </w:numPr>
        <w:rPr>
          <w:rFonts w:ascii="Arial" w:cs="Arial" w:eastAsia="Arial" w:hAnsi="Arial"/>
          <w:sz w:val="16"/>
          <w:szCs w:val="16"/>
          <w:color w:val="auto"/>
        </w:rPr>
      </w:pPr>
      <w:r>
        <w:rPr>
          <w:rFonts w:ascii="Arial" w:cs="Arial" w:eastAsia="Arial" w:hAnsi="Arial"/>
          <w:sz w:val="16"/>
          <w:szCs w:val="16"/>
          <w:color w:val="auto"/>
        </w:rPr>
        <w:t>On the terms and subject to the conditions set forth herein and in the other Financing Documents, each Lender with a Term Loan Tranche 2 Commitment severally hereby agrees to make to Borrowers a term loan on a Business Day occurring on or after the Term Loan Tranche 2 Activation Date and on or prior to the Term Loan Tranche 2 Commitment Termination Date (the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Tranche 2 Funding Date</w:t>
      </w:r>
      <w:r>
        <w:rPr>
          <w:rFonts w:ascii="Arial" w:cs="Arial" w:eastAsia="Arial" w:hAnsi="Arial"/>
          <w:sz w:val="16"/>
          <w:szCs w:val="16"/>
          <w:color w:val="auto"/>
        </w:rPr>
        <w:t>”) in an original aggregate principal amount equal to the Term Loan Tranche 2 Commitment (the “</w:t>
      </w:r>
      <w:r>
        <w:rPr>
          <w:rFonts w:ascii="Arial" w:cs="Arial" w:eastAsia="Arial" w:hAnsi="Arial"/>
          <w:sz w:val="16"/>
          <w:szCs w:val="16"/>
          <w:b w:val="1"/>
          <w:bCs w:val="1"/>
          <w:color w:val="auto"/>
        </w:rPr>
        <w:t>Term Loan Tranche 2</w:t>
      </w:r>
      <w:r>
        <w:rPr>
          <w:rFonts w:ascii="Arial" w:cs="Arial" w:eastAsia="Arial" w:hAnsi="Arial"/>
          <w:sz w:val="16"/>
          <w:szCs w:val="16"/>
          <w:color w:val="auto"/>
        </w:rPr>
        <w:t>”). Each such Lender’s obligation to fund the Term Loan Tranche 2 shall be limited to such Lender’s Term Loan Tranche 2</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Percentage, and no Lender shall have any obligation to fund any portion of any Term Loan required to be funded by any other Lender, but not so funded. Unless previously terminated, upon the Term Loan Tranche 2 Commitment Termination Date, the Term Loan Tranche 2 Commitment shall thereupon automatically be terminated and the Term Loan Tranche 2 Commitment Amount of each Lender as of such date shall be reduced by such Lender’s Pro Rata Share of such total reduction in the Term Loan Commitments</w:t>
      </w:r>
    </w:p>
    <w:p>
      <w:pPr>
        <w:spacing w:after="0" w:line="166" w:lineRule="exact"/>
        <w:rPr>
          <w:rFonts w:ascii="Arial" w:cs="Arial" w:eastAsia="Arial" w:hAnsi="Arial"/>
          <w:sz w:val="16"/>
          <w:szCs w:val="16"/>
          <w:color w:val="auto"/>
        </w:rPr>
      </w:pPr>
    </w:p>
    <w:p>
      <w:pPr>
        <w:jc w:val="both"/>
        <w:ind w:left="100" w:firstLine="1301"/>
        <w:spacing w:after="0" w:line="297" w:lineRule="auto"/>
        <w:tabs>
          <w:tab w:leader="none" w:pos="1851"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 Borrower shall have any right to reborrow any portion of the Term Loan that is repaid or prepaid from time to time. Borrowers shall deliver to Agent a Notice of Borrowing with respect to each proposed Term Loan advance, such Notice of Borrowing to be delivered, (i) in the case of a Term Loan Tranche 1 borrowing, no later than 12:00 P.M. (Eastern time) on the Business Day prior to such proposed borrowing or (ii) in the case of a Term Loan Tranche 2 borrowing, no later than noon (Eastern time) fifteen (15) Business Days (or such shorter period as may be agreed by Agent and the Lenders) prior to such proposed borrowing</w:t>
      </w:r>
    </w:p>
    <w:p>
      <w:pPr>
        <w:spacing w:after="0" w:line="158" w:lineRule="exact"/>
        <w:rPr>
          <w:rFonts w:ascii="Arial" w:cs="Arial" w:eastAsia="Arial" w:hAnsi="Arial"/>
          <w:sz w:val="16"/>
          <w:szCs w:val="16"/>
          <w:color w:val="auto"/>
        </w:rPr>
      </w:pPr>
    </w:p>
    <w:p>
      <w:pPr>
        <w:ind w:left="1160" w:hanging="40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Scheduled Repayments; Mandatory Prepayments; Optional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00" w:firstLine="1301"/>
        <w:spacing w:after="0" w:line="264" w:lineRule="auto"/>
        <w:tabs>
          <w:tab w:leader="none" w:pos="1838" w:val="left"/>
        </w:tabs>
        <w:numPr>
          <w:ilvl w:val="1"/>
          <w:numId w:val="30"/>
        </w:numPr>
        <w:rPr>
          <w:rFonts w:ascii="Arial" w:cs="Arial" w:eastAsia="Arial" w:hAnsi="Arial"/>
          <w:sz w:val="18"/>
          <w:szCs w:val="18"/>
          <w:color w:val="auto"/>
        </w:rPr>
      </w:pPr>
      <w:r>
        <w:rPr>
          <w:rFonts w:ascii="Arial" w:cs="Arial" w:eastAsia="Arial" w:hAnsi="Arial"/>
          <w:sz w:val="18"/>
          <w:szCs w:val="18"/>
          <w:color w:val="auto"/>
        </w:rPr>
        <w:t xml:space="preserve">There shall become due and payable, and Borrowers shall repay the Term Loan through, scheduled payments as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attached hereto. Notwithstanding the payment schedule set forth above, the outstanding principal amount of the Term Loan shall become immediately due and payable in full on the Termination Date.</w:t>
      </w:r>
    </w:p>
    <w:p>
      <w:pPr>
        <w:spacing w:after="0" w:line="181" w:lineRule="exact"/>
        <w:rPr>
          <w:rFonts w:ascii="Arial" w:cs="Arial" w:eastAsia="Arial" w:hAnsi="Arial"/>
          <w:sz w:val="18"/>
          <w:szCs w:val="18"/>
          <w:color w:val="auto"/>
        </w:rPr>
      </w:pPr>
    </w:p>
    <w:p>
      <w:pPr>
        <w:ind w:left="1820" w:hanging="419"/>
        <w:spacing w:after="0"/>
        <w:tabs>
          <w:tab w:leader="none" w:pos="18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There shall become due and payable and Borrowers shall prepay the Term Loan in the following amounts and at the</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following times:</w:t>
      </w:r>
    </w:p>
    <w:p>
      <w:pPr>
        <w:spacing w:after="0" w:line="210" w:lineRule="exact"/>
        <w:rPr>
          <w:rFonts w:ascii="Arial" w:cs="Arial" w:eastAsia="Arial" w:hAnsi="Arial"/>
          <w:sz w:val="16"/>
          <w:szCs w:val="16"/>
          <w:color w:val="auto"/>
        </w:rPr>
      </w:pPr>
    </w:p>
    <w:p>
      <w:pPr>
        <w:jc w:val="both"/>
        <w:ind w:left="760" w:firstLine="1289"/>
        <w:spacing w:after="0" w:line="279" w:lineRule="auto"/>
        <w:tabs>
          <w:tab w:leader="none" w:pos="2460" w:val="left"/>
        </w:tabs>
        <w:numPr>
          <w:ilvl w:val="2"/>
          <w:numId w:val="30"/>
        </w:numPr>
        <w:rPr>
          <w:rFonts w:ascii="Arial" w:cs="Arial" w:eastAsia="Arial" w:hAnsi="Arial"/>
          <w:sz w:val="17"/>
          <w:szCs w:val="17"/>
          <w:color w:val="auto"/>
        </w:rPr>
      </w:pPr>
      <w:r>
        <w:rPr>
          <w:rFonts w:ascii="Arial" w:cs="Arial" w:eastAsia="Arial" w:hAnsi="Arial"/>
          <w:sz w:val="17"/>
          <w:szCs w:val="17"/>
          <w:color w:val="auto"/>
        </w:rPr>
        <w:t>Unless Agent shall otherwise consent in writing, on the date on which any Credit Party (or Agent as loss payee or assignee) receives any casualty proceeds in excess of $1,000,000 with respect to assets upon which Agent maintained a Lien, an amount equal to one hundred percent (100%) of such proceeds (net of out-of-pocket expenses and repayment of secured debt permitted under clause (c) of the definition of Permitted Debt and encumbering</w:t>
      </w:r>
    </w:p>
    <w:p>
      <w:pPr>
        <w:spacing w:after="0" w:line="200" w:lineRule="exact"/>
        <w:rPr>
          <w:sz w:val="20"/>
          <w:szCs w:val="20"/>
          <w:color w:val="auto"/>
        </w:rPr>
      </w:pPr>
    </w:p>
    <w:p>
      <w:pPr>
        <w:spacing w:after="0" w:line="22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220"/>
          </w:cols>
          <w:pgMar w:left="1440" w:top="1057" w:right="239" w:bottom="1440" w:gutter="0" w:footer="0" w:header="0"/>
        </w:sectPr>
      </w:pPr>
    </w:p>
    <w:bookmarkStart w:id="35" w:name="page36"/>
    <w:bookmarkEnd w:id="35"/>
    <w:p>
      <w:pPr>
        <w:ind w:left="760"/>
        <w:spacing w:after="0" w:line="277" w:lineRule="auto"/>
        <w:rPr>
          <w:sz w:val="20"/>
          <w:szCs w:val="20"/>
          <w:color w:val="auto"/>
        </w:rPr>
      </w:pPr>
      <w:r>
        <w:rPr>
          <w:rFonts w:ascii="Arial" w:cs="Arial" w:eastAsia="Arial" w:hAnsi="Arial"/>
          <w:sz w:val="18"/>
          <w:szCs w:val="18"/>
          <w:color w:val="auto"/>
        </w:rPr>
        <w:t>the property that suffered such casualty), or such lesser portion of such proceeds as Agent shall elect to apply to the Obligations; and</w:t>
      </w:r>
    </w:p>
    <w:p>
      <w:pPr>
        <w:spacing w:after="0" w:line="170" w:lineRule="exact"/>
        <w:rPr>
          <w:sz w:val="20"/>
          <w:szCs w:val="20"/>
          <w:color w:val="auto"/>
        </w:rPr>
      </w:pPr>
    </w:p>
    <w:p>
      <w:pPr>
        <w:jc w:val="both"/>
        <w:ind w:left="760" w:firstLine="1289"/>
        <w:spacing w:after="0" w:line="264" w:lineRule="auto"/>
        <w:tabs>
          <w:tab w:leader="none" w:pos="25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amount equal to any interest that is deemed to be in excess of the Maximum Lawful Rate (as defined below) and is required to be applied to the reduction of the principal balance of the Loans by any Lender as provided for in Section 2.7.</w:t>
      </w:r>
    </w:p>
    <w:p>
      <w:pPr>
        <w:spacing w:after="0" w:line="181" w:lineRule="exact"/>
        <w:rPr>
          <w:sz w:val="20"/>
          <w:szCs w:val="20"/>
          <w:color w:val="auto"/>
        </w:rPr>
      </w:pPr>
    </w:p>
    <w:p>
      <w:pPr>
        <w:jc w:val="both"/>
        <w:ind w:left="100" w:firstLine="648"/>
        <w:spacing w:after="0" w:line="269" w:lineRule="auto"/>
        <w:rPr>
          <w:sz w:val="20"/>
          <w:szCs w:val="20"/>
          <w:color w:val="auto"/>
        </w:rPr>
      </w:pPr>
      <w:r>
        <w:rPr>
          <w:rFonts w:ascii="Arial" w:cs="Arial" w:eastAsia="Arial" w:hAnsi="Arial"/>
          <w:sz w:val="17"/>
          <w:szCs w:val="17"/>
          <w:color w:val="auto"/>
        </w:rPr>
        <w:t xml:space="preserve">Notwithstanding the foregoing and so long as no Event of Default or Default then exists: (1) any such casualty proceeds in excess of $1,000,000 (other than with respect to Inventory and any real property, unless Agent shall otherwise elect) may be used by Borrowers within one hundred eighty (180) days from the receipt of such proceeds to replace or repair any assets in respect of which such proceeds were paid so long as (x) prior to the receipt of such proceeds, Borrowers have delivered to Agent a reinvestment plan detailing such replacement or repair acceptable to Agent in its reasonable discretion and (y) such proceeds are deposited into an account with Agent promptly upon receipt by such Borrower; and (2) proceeds of personal property Asset Dispositions that are not made in the Ordinary Course of Business (other than Collateral consisting of Intellectual Property, unless Agent shall otherwise elect) may be used by Borrowers within one hundred eighty (180) days from the receipt of such proceeds to purchase new or replacement assets of comparable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proceeds are deposited into an account with Agent promptly upon receipt by such Borrower. All sums held by Agent</w:t>
      </w:r>
      <w:r>
        <w:rPr>
          <w:rFonts w:ascii="Arial" w:cs="Arial" w:eastAsia="Arial" w:hAnsi="Arial"/>
          <w:sz w:val="17"/>
          <w:szCs w:val="17"/>
          <w:i w:val="1"/>
          <w:iCs w:val="1"/>
          <w:color w:val="auto"/>
        </w:rPr>
        <w:t xml:space="preserve"> </w:t>
      </w:r>
      <w:r>
        <w:rPr>
          <w:rFonts w:ascii="Arial" w:cs="Arial" w:eastAsia="Arial" w:hAnsi="Arial"/>
          <w:sz w:val="17"/>
          <w:szCs w:val="17"/>
          <w:color w:val="auto"/>
        </w:rPr>
        <w:t>pending reinvestment as described in subsections (1) and (2) above shall be deemed additional collateral for the Obligations and may be commingled with the general funds of Agent.</w:t>
      </w:r>
    </w:p>
    <w:p>
      <w:pPr>
        <w:spacing w:after="0" w:line="183" w:lineRule="exact"/>
        <w:rPr>
          <w:sz w:val="20"/>
          <w:szCs w:val="20"/>
          <w:color w:val="auto"/>
        </w:rPr>
      </w:pPr>
    </w:p>
    <w:p>
      <w:pPr>
        <w:jc w:val="both"/>
        <w:ind w:left="100" w:firstLine="1301"/>
        <w:spacing w:after="0" w:line="264" w:lineRule="auto"/>
        <w:tabs>
          <w:tab w:leader="none" w:pos="1887"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Borrowers may from time to time, with at least fifteen (15) days prior written notice to Agent, prepay the Term Loan in whole but not in part;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such prepayment shall be accompanied by any prepayment and exit fees required under the Financing Documents.</w:t>
      </w:r>
    </w:p>
    <w:p>
      <w:pPr>
        <w:spacing w:after="0" w:line="181" w:lineRule="exact"/>
        <w:rPr>
          <w:rFonts w:ascii="Arial" w:cs="Arial" w:eastAsia="Arial" w:hAnsi="Arial"/>
          <w:sz w:val="18"/>
          <w:szCs w:val="18"/>
          <w:color w:val="auto"/>
        </w:rPr>
      </w:pPr>
    </w:p>
    <w:p>
      <w:pPr>
        <w:jc w:val="both"/>
        <w:ind w:left="-540" w:firstLine="1293"/>
        <w:spacing w:after="0" w:line="270" w:lineRule="auto"/>
        <w:tabs>
          <w:tab w:leader="none" w:pos="123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All Prepayments</w:t>
      </w:r>
      <w:r>
        <w:rPr>
          <w:rFonts w:ascii="Arial" w:cs="Arial" w:eastAsia="Arial" w:hAnsi="Arial"/>
          <w:sz w:val="17"/>
          <w:szCs w:val="17"/>
          <w:color w:val="auto"/>
        </w:rPr>
        <w:t xml:space="preserve">. Except as this Agreement may specifically provide otherwise, all prepayments of the Term Loan shall be applied by Agent to the Obligations in inverse order of maturity. The monthly payments required under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shall continue in the same amount (for so long as the Term Loan and/or (if applicable) any advance thereunder shall remain outstanding) notwithstanding any partial prepayment, whether mandatory or optional, of the Term Loan. Notwithstanding anything to the contrary contained in the foregoing, in the event that there have been multiple advances under the Term Loan each of which such advances has a separate amortization schedule of principal payments under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attached hereto, each prepayment of the Term Loan shall be applied by Agent to reduce and prepay the principal balance of the earliest-made advance then outstanding in the inverse order of maturity of the scheduled payments with respect to such advance until such earliest-made advance is paid in full (and to the extent the total amount of any such partial prepayment shall exceed the outstanding principal balance of such earliest-made advance, the remainder of such prepayment shall be applied successively to the remaining advances under the Term Loan in the direct order of the respective advance dates in the manner provided for in this sentence).</w:t>
      </w:r>
    </w:p>
    <w:p>
      <w:pPr>
        <w:spacing w:after="0" w:line="177" w:lineRule="exact"/>
        <w:rPr>
          <w:rFonts w:ascii="Arial" w:cs="Arial" w:eastAsia="Arial" w:hAnsi="Arial"/>
          <w:sz w:val="17"/>
          <w:szCs w:val="17"/>
          <w:color w:val="auto"/>
        </w:rPr>
      </w:pPr>
    </w:p>
    <w:p>
      <w:pPr>
        <w:ind w:left="1200" w:hanging="44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LIBOR Rate</w:t>
      </w:r>
      <w:r>
        <w:rPr>
          <w:rFonts w:ascii="Arial" w:cs="Arial" w:eastAsia="Arial" w:hAnsi="Arial"/>
          <w:sz w:val="18"/>
          <w:szCs w:val="18"/>
          <w:color w:val="auto"/>
        </w:rPr>
        <w:t>.</w:t>
      </w:r>
    </w:p>
    <w:p>
      <w:pPr>
        <w:spacing w:after="0" w:line="225" w:lineRule="exact"/>
        <w:rPr>
          <w:sz w:val="20"/>
          <w:szCs w:val="20"/>
          <w:color w:val="auto"/>
        </w:rPr>
      </w:pPr>
    </w:p>
    <w:p>
      <w:pPr>
        <w:ind w:left="1940" w:hanging="539"/>
        <w:spacing w:after="0"/>
        <w:tabs>
          <w:tab w:leader="none" w:pos="19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Except as provided in subsection (C) below, the Term Loan shall accrue interest at the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w:t>
      </w:r>
    </w:p>
    <w:p>
      <w:pPr>
        <w:spacing w:after="0" w:line="34"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8"/>
          <w:szCs w:val="18"/>
          <w:color w:val="auto"/>
        </w:rPr>
        <w:t>Applicable Margin.</w:t>
      </w:r>
    </w:p>
    <w:p>
      <w:pPr>
        <w:spacing w:after="0" w:line="200" w:lineRule="exact"/>
        <w:rPr>
          <w:sz w:val="20"/>
          <w:szCs w:val="20"/>
          <w:color w:val="auto"/>
        </w:rPr>
      </w:pPr>
    </w:p>
    <w:p>
      <w:pPr>
        <w:spacing w:after="0" w:line="26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220"/>
          </w:cols>
          <w:pgMar w:left="1440" w:top="625" w:right="239" w:bottom="1440" w:gutter="0" w:footer="0" w:header="0"/>
        </w:sectPr>
      </w:pPr>
    </w:p>
    <w:bookmarkStart w:id="36" w:name="page37"/>
    <w:bookmarkEnd w:id="36"/>
    <w:p>
      <w:pPr>
        <w:jc w:val="both"/>
        <w:ind w:left="1300" w:firstLine="1301"/>
        <w:spacing w:after="0" w:line="286" w:lineRule="auto"/>
        <w:tabs>
          <w:tab w:leader="none" w:pos="3050"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The LIBOR Rate may be adjusted by Agent with respect to any Lender on a prospective basis to take into account any additional or increased costs to such Lender of maintaining or obtaining any eurodollar deposits or increased costs, in each case,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which additional or increased costs would increase the cost of funding loans bearing interest based upon the LIBOR Rate;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(I) require such Lender to furnish to Borrowers a statement setting forth the basis for adjusting such LIBOR Rate and the method for determining the amount of such adjustment, or (II) repay the Loans bearing interest based upon the LIBOR Rate with respect to which such adjustment is made.</w:t>
      </w:r>
    </w:p>
    <w:p>
      <w:pPr>
        <w:spacing w:after="0" w:line="168" w:lineRule="exact"/>
        <w:rPr>
          <w:rFonts w:ascii="Arial" w:cs="Arial" w:eastAsia="Arial" w:hAnsi="Arial"/>
          <w:sz w:val="16"/>
          <w:szCs w:val="16"/>
          <w:color w:val="auto"/>
        </w:rPr>
      </w:pPr>
    </w:p>
    <w:p>
      <w:pPr>
        <w:jc w:val="both"/>
        <w:ind w:left="1300" w:firstLine="1301"/>
        <w:spacing w:after="0" w:line="284" w:lineRule="auto"/>
        <w:tabs>
          <w:tab w:leader="none" w:pos="3049" w:val="left"/>
        </w:tabs>
        <w:numPr>
          <w:ilvl w:val="2"/>
          <w:numId w:val="35"/>
        </w:numPr>
        <w:rPr>
          <w:rFonts w:ascii="Arial" w:cs="Arial" w:eastAsia="Arial" w:hAnsi="Arial"/>
          <w:sz w:val="16"/>
          <w:szCs w:val="16"/>
          <w:color w:val="auto"/>
        </w:rPr>
      </w:pPr>
      <w:r>
        <w:rPr>
          <w:rFonts w:ascii="Arial" w:cs="Arial" w:eastAsia="Arial" w:hAnsi="Arial"/>
          <w:sz w:val="16"/>
          <w:szCs w:val="16"/>
          <w:color w:val="auto"/>
        </w:rPr>
        <w:t xml:space="preserve">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maintain Loans bearing interest based upon the LIBOR Rate or to continue such maintaining, or to determine or charge interest rates at the LIBOR Rate, such Lender shall give notice of such changed circumstances to Agent and Borrowers and Agent promptly shall transmit the notice to each other Lender, (I) in the case of the pro rata share of the Term Loan held by such Lender and then outstanding, the date specified in such Lender’s notice shall be deemed to be the last day of the Interest Period of such portion of the Term Loan, and interest upon such portion thereafter shall accrue interest at the Base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and</w:t>
      </w:r>
    </w:p>
    <w:p>
      <w:pPr>
        <w:spacing w:after="0" w:line="2" w:lineRule="exact"/>
        <w:rPr>
          <w:rFonts w:ascii="Arial" w:cs="Arial" w:eastAsia="Arial" w:hAnsi="Arial"/>
          <w:sz w:val="16"/>
          <w:szCs w:val="16"/>
          <w:color w:val="auto"/>
        </w:rPr>
      </w:pPr>
    </w:p>
    <w:p>
      <w:pPr>
        <w:ind w:left="1300" w:firstLine="5"/>
        <w:spacing w:after="0" w:line="261"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such portion of the Term Loan shall continue to accrue interest at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until such Lender determines that it would no longer be unlawful or impractical to maintain such Term Loan at the LIBOR Rate.</w:t>
      </w:r>
    </w:p>
    <w:p>
      <w:pPr>
        <w:spacing w:after="0" w:line="183" w:lineRule="exact"/>
        <w:rPr>
          <w:rFonts w:ascii="Arial" w:cs="Arial" w:eastAsia="Arial" w:hAnsi="Arial"/>
          <w:sz w:val="18"/>
          <w:szCs w:val="18"/>
          <w:color w:val="auto"/>
        </w:rPr>
      </w:pPr>
    </w:p>
    <w:p>
      <w:pPr>
        <w:ind w:left="1300" w:right="20" w:firstLine="1301"/>
        <w:spacing w:after="0" w:line="308" w:lineRule="auto"/>
        <w:tabs>
          <w:tab w:leader="none" w:pos="308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Anything to the contrary contained herein notwithstanding, neither Agent nor any Lender is required actually to acquire eurodollar deposits to fund or otherwise match fund any Obligation as to which interest accrues based on the LIBOR Rate.</w:t>
      </w:r>
    </w:p>
    <w:p>
      <w:pPr>
        <w:spacing w:after="0" w:line="146" w:lineRule="exact"/>
        <w:rPr>
          <w:rFonts w:ascii="Arial" w:cs="Arial" w:eastAsia="Arial" w:hAnsi="Arial"/>
          <w:sz w:val="17"/>
          <w:szCs w:val="17"/>
          <w:color w:val="auto"/>
        </w:rPr>
      </w:pPr>
    </w:p>
    <w:p>
      <w:pPr>
        <w:ind w:left="1780" w:hanging="394"/>
        <w:spacing w:after="0"/>
        <w:tabs>
          <w:tab w:leader="none" w:pos="178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Interest, Interest Calculations and Certain Fees</w:t>
      </w:r>
      <w:r>
        <w:rPr>
          <w:rFonts w:ascii="Arial" w:cs="Arial" w:eastAsia="Arial" w:hAnsi="Arial"/>
          <w:sz w:val="16"/>
          <w:szCs w:val="16"/>
          <w:color w:val="auto"/>
        </w:rPr>
        <w:t>.</w:t>
      </w:r>
    </w:p>
    <w:p>
      <w:pPr>
        <w:spacing w:after="0" w:line="225" w:lineRule="exact"/>
        <w:rPr>
          <w:sz w:val="20"/>
          <w:szCs w:val="20"/>
          <w:color w:val="auto"/>
        </w:rPr>
      </w:pPr>
    </w:p>
    <w:p>
      <w:pPr>
        <w:ind w:left="80" w:right="20" w:firstLine="1306"/>
        <w:spacing w:after="0" w:line="342" w:lineRule="auto"/>
        <w:tabs>
          <w:tab w:leader="none" w:pos="1770"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From and following the Closing Date, except as expressly set forth in this Agreement, Loans and the other Obligations shall bear interest at the sum of the LIBOR Rate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Applicable Margin. Interest on the Loans shall be paid in arrears on the first (1st) day of each month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105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and on the maturity of such Loans, whether by acceleration or otherwise. Interest on all other Obligations shall be payable upon demand.</w:t>
      </w:r>
    </w:p>
    <w:p>
      <w:pPr>
        <w:spacing w:after="0" w:line="225" w:lineRule="exact"/>
        <w:rPr>
          <w:sz w:val="20"/>
          <w:szCs w:val="20"/>
          <w:color w:val="auto"/>
        </w:rPr>
      </w:pPr>
    </w:p>
    <w:p>
      <w:pPr>
        <w:ind w:left="1780" w:hanging="394"/>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374"/>
        <w:spacing w:after="0"/>
        <w:tabs>
          <w:tab w:leader="none" w:pos="17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Fee Letter</w:t>
      </w:r>
      <w:r>
        <w:rPr>
          <w:rFonts w:ascii="Arial" w:cs="Arial" w:eastAsia="Arial" w:hAnsi="Arial"/>
          <w:sz w:val="17"/>
          <w:szCs w:val="17"/>
          <w:color w:val="auto"/>
        </w:rPr>
        <w:t>. In addition to the other fees set forth herein, the Borrowers agree to pay Agent the fees set forth in the Fee Letter.</w:t>
      </w:r>
    </w:p>
    <w:p>
      <w:pPr>
        <w:spacing w:after="0" w:line="236" w:lineRule="exact"/>
        <w:rPr>
          <w:rFonts w:ascii="Arial" w:cs="Arial" w:eastAsia="Arial" w:hAnsi="Arial"/>
          <w:sz w:val="17"/>
          <w:szCs w:val="17"/>
          <w:color w:val="auto"/>
        </w:rPr>
      </w:pPr>
    </w:p>
    <w:p>
      <w:pPr>
        <w:ind w:left="1780" w:hanging="394"/>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374"/>
        <w:spacing w:after="0"/>
        <w:tabs>
          <w:tab w:leader="none" w:pos="17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hanging="354"/>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394"/>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80" w:hanging="394"/>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 w:firstLine="1306"/>
        <w:spacing w:after="0" w:line="286" w:lineRule="auto"/>
        <w:tabs>
          <w:tab w:leader="none" w:pos="172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If any advance under the Term Loan is prepaid at any time, in whole or in part, for any reason (whether by voluntary prepayment by Borrowers, by reason of the occurrence of an Event of Default or the acceleration of the Term Loan, or otherwise), or if the Term Loan shall become accelerated and due and payable in full, Borrowers shall pay to Agent, for the benefit of all Lenders committed to make Term Loan advances, as compensation for the costs of such Lenders making funds available to Borrowers under this Agreement, a prepayment fee (the “</w:t>
      </w:r>
      <w:r>
        <w:rPr>
          <w:rFonts w:ascii="Arial" w:cs="Arial" w:eastAsia="Arial" w:hAnsi="Arial"/>
          <w:sz w:val="16"/>
          <w:szCs w:val="16"/>
          <w:b w:val="1"/>
          <w:bCs w:val="1"/>
          <w:color w:val="auto"/>
        </w:rPr>
        <w:t>Prepayment Fee</w:t>
      </w:r>
      <w:r>
        <w:rPr>
          <w:rFonts w:ascii="Arial" w:cs="Arial" w:eastAsia="Arial" w:hAnsi="Arial"/>
          <w:sz w:val="16"/>
          <w:szCs w:val="16"/>
          <w:color w:val="auto"/>
        </w:rPr>
        <w:t>”) calculated in accordance with this subsection. The Prepayment Fee in respect of each of Term Loan Tranche 1 shall be equal to an amount determined by multiplying the amount being prepaid (or required to be prepaid, if such amount is greater) by the following applicable percentage amount: (x) three percent (3.0%) for the first year following the Closing Date, (y) two percent (2.0%) for the second year following the Closing Date and (z) one percent (1.0%) thereafter. The Prepayment Fee in respect of each of Term Loan Tranche 2 shall be equal to an amount determined by multiplying the amount being prepaid (or required to be prepaid, if such amount is greater) by the following applicable percentage amount: (x) three percent (3.0%) for the first year following the date on which the Term Loan Tranche 2 is funded, (y) two percent (2.0%) for the second year following the date on which the Term Loan Tranche 2 is funded and (z) one percent (1.0%) thereafter. The Prepayment Fee shall not apply to or be assessed upon any prepayment made by Borrowers if such payments were required by Agent to be made pursuant to Section 2.1(a)(ii)(B) subpart (i) (relating to casualty proceeds), or subpart (ii) (relating to payments exceeding the Maximum Lawful Rate). All fees payable pursuant to this subsection shall be deemed fully earned and non-refundable as of the Closing Date.</w:t>
      </w:r>
    </w:p>
    <w:p>
      <w:pPr>
        <w:spacing w:after="0" w:line="174" w:lineRule="exact"/>
        <w:rPr>
          <w:rFonts w:ascii="Arial" w:cs="Arial" w:eastAsia="Arial" w:hAnsi="Arial"/>
          <w:sz w:val="16"/>
          <w:szCs w:val="16"/>
          <w:color w:val="auto"/>
        </w:rPr>
      </w:pPr>
    </w:p>
    <w:p>
      <w:pPr>
        <w:ind w:left="1740" w:hanging="354"/>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 w:firstLine="1306"/>
        <w:spacing w:after="0" w:line="279" w:lineRule="auto"/>
        <w:tabs>
          <w:tab w:leader="none" w:pos="1766"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Audit Fees</w:t>
      </w:r>
      <w:r>
        <w:rPr>
          <w:rFonts w:ascii="Arial" w:cs="Arial" w:eastAsia="Arial" w:hAnsi="Arial"/>
          <w:sz w:val="17"/>
          <w:szCs w:val="17"/>
          <w:color w:val="auto"/>
        </w:rPr>
        <w:t>. Subject to Section 4.6, Borrowers shall pay to Agent, for its own account and not for the benefit of any other Lenders, all reasonable fees and expenses in connection with audits and inspections of Borrowers’ books and records, audits, valuations or appraisals of the Collateral, audits of Borrowers’ compliance with applicable Laws and such other matters as Agent shall deem appropriate, which shall be due and payable on the first Business Day of the month following the date of issuance by Agent of a written request for payment thereof to Borrowers.</w:t>
      </w:r>
    </w:p>
    <w:p>
      <w:pPr>
        <w:spacing w:after="0" w:line="171" w:lineRule="exact"/>
        <w:rPr>
          <w:rFonts w:ascii="Arial" w:cs="Arial" w:eastAsia="Arial" w:hAnsi="Arial"/>
          <w:sz w:val="17"/>
          <w:szCs w:val="17"/>
          <w:color w:val="auto"/>
        </w:rPr>
      </w:pPr>
    </w:p>
    <w:p>
      <w:pPr>
        <w:ind w:left="80" w:firstLine="1306"/>
        <w:spacing w:after="0" w:line="277" w:lineRule="auto"/>
        <w:tabs>
          <w:tab w:leader="none" w:pos="175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Wire Fees</w:t>
      </w:r>
      <w:r>
        <w:rPr>
          <w:rFonts w:ascii="Arial" w:cs="Arial" w:eastAsia="Arial" w:hAnsi="Arial"/>
          <w:sz w:val="18"/>
          <w:szCs w:val="18"/>
          <w:color w:val="auto"/>
        </w:rPr>
        <w:t>. Borrowers shall pay to Agent, for its own account and not for the account of any other Lenders, on written demand, fees for incoming and outgoing wires made for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6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account of Borrowers, such fees to be based on Agent’s then current wire fee schedule (available upon written request of the Borrowers).</w:t>
      </w:r>
    </w:p>
    <w:p>
      <w:pPr>
        <w:spacing w:after="0" w:line="225" w:lineRule="exact"/>
        <w:rPr>
          <w:sz w:val="20"/>
          <w:szCs w:val="20"/>
          <w:color w:val="auto"/>
        </w:rPr>
      </w:pPr>
    </w:p>
    <w:p>
      <w:pPr>
        <w:jc w:val="both"/>
        <w:ind w:left="80" w:firstLine="1306"/>
        <w:spacing w:after="0" w:line="279" w:lineRule="auto"/>
        <w:tabs>
          <w:tab w:leader="none" w:pos="1857"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Late Charges</w:t>
      </w:r>
      <w:r>
        <w:rPr>
          <w:rFonts w:ascii="Arial" w:cs="Arial" w:eastAsia="Arial" w:hAnsi="Arial"/>
          <w:sz w:val="17"/>
          <w:szCs w:val="17"/>
          <w:color w:val="auto"/>
        </w:rPr>
        <w:t>. If payments of principal (other than a final installment of principal upon the Termination Date), interest due on the Obligations, or any other amounts due hereunder or under the other Financing Documents are not timely made and remain overdue for a period of five (5) days, Borrowers, without notice or demand by Agent, promptly shall pay to Agent, for its own account and not for the benefit of any other Lenders, as additional compensation to Agent in administering the Obligations, an amount equal to three percent (3.0%) of each delinquent payment.</w:t>
      </w:r>
    </w:p>
    <w:p>
      <w:pPr>
        <w:spacing w:after="0" w:line="171" w:lineRule="exact"/>
        <w:rPr>
          <w:rFonts w:ascii="Arial" w:cs="Arial" w:eastAsia="Arial" w:hAnsi="Arial"/>
          <w:sz w:val="17"/>
          <w:szCs w:val="17"/>
          <w:color w:val="auto"/>
        </w:rPr>
      </w:pPr>
    </w:p>
    <w:p>
      <w:pPr>
        <w:jc w:val="both"/>
        <w:ind w:left="80" w:firstLine="1306"/>
        <w:spacing w:after="0" w:line="312" w:lineRule="auto"/>
        <w:tabs>
          <w:tab w:leader="none" w:pos="17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Computation of Interest and Related Fees</w:t>
      </w:r>
      <w:r>
        <w:rPr>
          <w:rFonts w:ascii="Arial" w:cs="Arial" w:eastAsia="Arial" w:hAnsi="Arial"/>
          <w:sz w:val="16"/>
          <w:szCs w:val="16"/>
          <w:color w:val="auto"/>
        </w:rPr>
        <w:t>. All interest and fees under each Financing Document shall be calculated on the basis of a 360-day year for the actual number of days elapsed. The date of funding of a Loan shall be included in the calculation of interest. The date of payment of a Loan shall be excluded from the calculation of interest. If a Loan is repaid on the same day that it is made, one (1) day’s interest shall be charged.</w:t>
      </w:r>
    </w:p>
    <w:p>
      <w:pPr>
        <w:spacing w:after="0" w:line="146" w:lineRule="exact"/>
        <w:rPr>
          <w:rFonts w:ascii="Arial" w:cs="Arial" w:eastAsia="Arial" w:hAnsi="Arial"/>
          <w:sz w:val="16"/>
          <w:szCs w:val="16"/>
          <w:color w:val="auto"/>
        </w:rPr>
      </w:pPr>
    </w:p>
    <w:p>
      <w:pPr>
        <w:jc w:val="both"/>
        <w:ind w:left="80" w:firstLine="1306"/>
        <w:spacing w:after="0" w:line="255" w:lineRule="auto"/>
        <w:tabs>
          <w:tab w:leader="none" w:pos="1807"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Automated Clearing House Payments</w:t>
      </w:r>
      <w:r>
        <w:rPr>
          <w:rFonts w:ascii="Arial" w:cs="Arial" w:eastAsia="Arial" w:hAnsi="Arial"/>
          <w:sz w:val="18"/>
          <w:szCs w:val="18"/>
          <w:color w:val="auto"/>
        </w:rPr>
        <w:t>. If Agent (or its designated servicer or trustee on behalf of a securitization vehicle) so elects, monthly payments of principal, interest, fees, expenses or any other amounts due and owing from Borrower to Agent hereunder shall be paid to Agent by Automated Clearing House debit of immediately available funds from the financial institution account designated by Borrower Representative in the Automated Clearing House debit authorization executed by Borrowers or Borrower Representative in connection with this Agreement, and shall be effective upon receipt. Borrowers shall execute any and all forms and documentation necessary from time to time to effectuate such automatic debiting. In no event shall any such payments be refunded to Borrowers.</w:t>
      </w:r>
    </w:p>
    <w:p>
      <w:pPr>
        <w:spacing w:after="0" w:line="19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Notes</w:t>
      </w:r>
      <w:r>
        <w:rPr>
          <w:rFonts w:ascii="Arial" w:cs="Arial" w:eastAsia="Arial" w:hAnsi="Arial"/>
          <w:sz w:val="16"/>
          <w:szCs w:val="16"/>
          <w:color w:val="auto"/>
        </w:rPr>
        <w:t>. The portion of the Loans made by each Lender shall be evidenced, if so requested by such Lender, by one or more promissory notes executed by Borrowers on a joint and several basis (each, a “</w:t>
      </w:r>
      <w:r>
        <w:rPr>
          <w:rFonts w:ascii="Arial" w:cs="Arial" w:eastAsia="Arial" w:hAnsi="Arial"/>
          <w:sz w:val="16"/>
          <w:szCs w:val="16"/>
          <w:b w:val="1"/>
          <w:bCs w:val="1"/>
          <w:color w:val="auto"/>
        </w:rPr>
        <w:t>Note</w:t>
      </w:r>
      <w:r>
        <w:rPr>
          <w:rFonts w:ascii="Arial" w:cs="Arial" w:eastAsia="Arial" w:hAnsi="Arial"/>
          <w:sz w:val="16"/>
          <w:szCs w:val="16"/>
          <w:color w:val="auto"/>
        </w:rPr>
        <w:t>”) in an original principal amount equal to such Lender’s Term Loan Commitments.</w:t>
      </w:r>
    </w:p>
    <w:p>
      <w:pPr>
        <w:spacing w:after="0" w:line="12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General Provisions Regarding Payment; Loan Account</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70" w:lineRule="auto"/>
        <w:tabs>
          <w:tab w:leader="none" w:pos="1837"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payments to be made by each Borrower under any Financing Document, including payments of principal and interest made hereunder and pursuant to any other Financing Document, and all fees, expenses, indemnities and reimbursements, shall be made without set-off, recoupment or counterclaim. If any payment hereunder becomes due and payable on a day other than a Business Day, such payment shall be extended to the next succeeding Business Day and, with respect to payments of principal, interest thereon shall be payable at the then applicable rate during such extension (it being understood and agreed that, solely for purposes of calculating financial covenants and computations contained herein and determining compliance therewith, if payment is made, in full, on any such extended due date, such payment shall be deemed to have been paid on the original due date without giving effect to any extension thereto). Any payments received in the Payment Account before 12:00 Noon (Eastern time) on any date shall be deemed received by Agent on such date, and any payments received in the Payment Account at or after 12:00 Noon (Eastern time) on any date shall be deemed received by Agent on the next succeeding Business Day.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25" w:right="239" w:bottom="1440" w:gutter="0" w:footer="0" w:header="0"/>
        </w:sectPr>
      </w:pPr>
    </w:p>
    <w:bookmarkStart w:id="39" w:name="page40"/>
    <w:bookmarkEnd w:id="39"/>
    <w:p>
      <w:pPr>
        <w:jc w:val="both"/>
        <w:ind w:left="80" w:firstLine="1306"/>
        <w:spacing w:after="0" w:line="271" w:lineRule="auto"/>
        <w:tabs>
          <w:tab w:leader="none" w:pos="1786" w:val="left"/>
        </w:tabs>
        <w:numPr>
          <w:ilvl w:val="0"/>
          <w:numId w:val="41"/>
        </w:numPr>
        <w:rPr>
          <w:rFonts w:ascii="Arial" w:cs="Arial" w:eastAsia="Arial" w:hAnsi="Arial"/>
          <w:sz w:val="17"/>
          <w:szCs w:val="17"/>
          <w:color w:val="auto"/>
        </w:rPr>
      </w:pPr>
      <w:r>
        <w:rPr>
          <w:rFonts w:ascii="Arial" w:cs="Arial" w:eastAsia="Arial" w:hAnsi="Arial"/>
          <w:sz w:val="17"/>
          <w:szCs w:val="17"/>
          <w:color w:val="auto"/>
        </w:rPr>
        <w:t>Agent shall maintain a loan account (the “</w:t>
      </w:r>
      <w:r>
        <w:rPr>
          <w:rFonts w:ascii="Arial" w:cs="Arial" w:eastAsia="Arial" w:hAnsi="Arial"/>
          <w:sz w:val="17"/>
          <w:szCs w:val="17"/>
          <w:b w:val="1"/>
          <w:bCs w:val="1"/>
          <w:color w:val="auto"/>
        </w:rPr>
        <w:t>Loan Account</w:t>
      </w:r>
      <w:r>
        <w:rPr>
          <w:rFonts w:ascii="Arial" w:cs="Arial" w:eastAsia="Arial" w:hAnsi="Arial"/>
          <w:sz w:val="17"/>
          <w:szCs w:val="17"/>
          <w:color w:val="auto"/>
        </w:rPr>
        <w:t xml:space="preserve">”) on its books to record Loans and other extensions of credit made by the Lenders hereunder or under any other Financing Document, and all payments thereon made by each Borrower. All entries in the Loan Account shall be made in accordance with Agent’s customary accounting practices as in effect from time to time. The balance in the Loan Account, as recorded in Agent’s books and records at any time shall be conclusive and binding evidence of the amounts due and owing to Agent by each Borrower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failure to so record or any error in so recording shall not limit or otherwise affect any Borrower’s duty to pay all amounts owing hereunder</w:t>
      </w:r>
      <w:r>
        <w:rPr>
          <w:rFonts w:ascii="Arial" w:cs="Arial" w:eastAsia="Arial" w:hAnsi="Arial"/>
          <w:sz w:val="17"/>
          <w:szCs w:val="17"/>
          <w:i w:val="1"/>
          <w:iCs w:val="1"/>
          <w:color w:val="auto"/>
        </w:rPr>
        <w:t xml:space="preserve"> </w:t>
      </w:r>
      <w:r>
        <w:rPr>
          <w:rFonts w:ascii="Arial" w:cs="Arial" w:eastAsia="Arial" w:hAnsi="Arial"/>
          <w:sz w:val="17"/>
          <w:szCs w:val="17"/>
          <w:color w:val="auto"/>
        </w:rPr>
        <w:t>or under any other Financing Document. Agent shall endeavor to provide Borrowers with a monthly statement regarding the Loan Account (but neither Agent nor any Lender shall have any liability if Agent shall fail to provide any such statement). Unless any Borrower notifies Agent of any objection to any such statement (specifically describing the basis for such objection) within ninety (90) days after the date of receipt thereof, it shall be deemed final, binding and conclusive upon Borrowers in all respects as to all matters reflected therein.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Maximum Interest</w:t>
      </w:r>
      <w:r>
        <w:rPr>
          <w:rFonts w:ascii="Arial" w:cs="Arial" w:eastAsia="Arial" w:hAnsi="Arial"/>
          <w:sz w:val="17"/>
          <w:szCs w:val="17"/>
          <w:color w:val="auto"/>
        </w:rPr>
        <w:t>. In no event shall the interest charged with respect to the Loans or any other Obligations of any Borrower under any Financing Document exceed the maximum amount permitted under the laws of the State of New York or of any other applicable jurisdiction. Notwithstanding anything to the contrary herein or elsewhere, if at any time the rate of interest payable hereunder or under any Note or other Financing Document (the “</w:t>
      </w:r>
      <w:r>
        <w:rPr>
          <w:rFonts w:ascii="Arial" w:cs="Arial" w:eastAsia="Arial" w:hAnsi="Arial"/>
          <w:sz w:val="17"/>
          <w:szCs w:val="17"/>
          <w:b w:val="1"/>
          <w:bCs w:val="1"/>
          <w:color w:val="auto"/>
        </w:rPr>
        <w:t>Stated</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would exceed the highest rate of interest permitted under any applicable law to be charged (the “</w:t>
      </w:r>
      <w:r>
        <w:rPr>
          <w:rFonts w:ascii="Arial" w:cs="Arial" w:eastAsia="Arial" w:hAnsi="Arial"/>
          <w:sz w:val="17"/>
          <w:szCs w:val="17"/>
          <w:b w:val="1"/>
          <w:bCs w:val="1"/>
          <w:color w:val="auto"/>
        </w:rPr>
        <w:t>Maximum Lawful Rate</w:t>
      </w:r>
      <w:r>
        <w:rPr>
          <w:rFonts w:ascii="Arial" w:cs="Arial" w:eastAsia="Arial" w:hAnsi="Arial"/>
          <w:sz w:val="17"/>
          <w:szCs w:val="17"/>
          <w:color w:val="auto"/>
        </w:rPr>
        <w:t>”), then for so long as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Maximum Lawful Rate would be so exceeded, the rate of interest payable shall be equal to the Maximum Lawful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at any time thereafter the Stated Rate is less than the Maximum Lawful Rate, each Borrower shall, to the extent permitted by law, continue to pay interest at the Maximum Lawful Rate until such time as the total interest received is equal to the total interest which would have been received had the Stated Rate been (but for the operation of this provision) the interest rate payable. Thereafter, the interest rate payable shall be the Stated Rate unless and until the Stated Rate again would exceed the Maximum Lawful Rate, in which event this provision shall again apply. In no event shall the total interest received by any Lender exceed the amount which it could lawfully have received had the interest been calculated for the full term hereof at the Maximum Lawful Rate. If, notwithstanding the prior sentence, any Lender has received interest hereunder in excess of the Maximum Lawful Rate, such excess amount shall be applied to the reduction of the principal balance of the Loans or to other amounts (other than interest) payable hereunder, and if no such principal or other amounts are then outstanding, such excess or part thereof remaining shall be paid to Borrowers. In computing interest payable with reference to the Maximum Lawful Rate applicable to any Lender, such interest shall be calculated at a daily rate equal to the Maximum Lawful Rate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number of days in the year in which such calculation is made.</w:t>
      </w:r>
    </w:p>
    <w:p>
      <w:pPr>
        <w:spacing w:after="0" w:line="183"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Taxes; Capital Adequacy; Mitigation Obligations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3" w:lineRule="auto"/>
        <w:tabs>
          <w:tab w:leader="none" w:pos="18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payments of principal and interest on the Loans and all other amounts payable hereunder shall be made free and clear of and without deduction for any present or future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any such withholding or deduction is in respect of any Indemnified Taxes, then the Borrowers shall pay such additional amount or amounts as is necessary to ensure that the net amount actually received by Agent and each Lender will equal the full amount Agent and such Lender would have received had no such withholding or deduction been required (including, without limitation, such withholdings and deductions applicable to additional sums payable under this Section 2.8). After payment of any Tax by a Borrower to a Governmental Authority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1053" w:right="239" w:bottom="1440" w:gutter="0" w:footer="0" w:header="0"/>
        </w:sectPr>
      </w:pPr>
    </w:p>
    <w:bookmarkStart w:id="40" w:name="page41"/>
    <w:bookmarkEnd w:id="40"/>
    <w:p>
      <w:pPr>
        <w:jc w:val="both"/>
        <w:spacing w:after="0" w:line="286" w:lineRule="auto"/>
        <w:rPr>
          <w:sz w:val="20"/>
          <w:szCs w:val="20"/>
          <w:color w:val="auto"/>
        </w:rPr>
      </w:pPr>
      <w:r>
        <w:rPr>
          <w:rFonts w:ascii="Arial" w:cs="Arial" w:eastAsia="Arial" w:hAnsi="Arial"/>
          <w:sz w:val="17"/>
          <w:szCs w:val="17"/>
          <w:color w:val="auto"/>
        </w:rPr>
        <w:t>pursuant to this Section 2.8, such Borrower shall promptly forward to Agent the original or a certified copy of an official receipt, a copy of the return reporting such payment, or other documentation satisfactory to Agent evidencing such payment to such authority. Borrowers shall timely pay to the relevant Governmental Authority in accordance with applicable Law, or at the option of Agent timely reimburse it for the payment of, any Other Taxes.</w:t>
      </w:r>
    </w:p>
    <w:p>
      <w:pPr>
        <w:spacing w:after="0" w:line="166" w:lineRule="exact"/>
        <w:rPr>
          <w:sz w:val="20"/>
          <w:szCs w:val="20"/>
          <w:color w:val="auto"/>
        </w:rPr>
      </w:pPr>
    </w:p>
    <w:p>
      <w:pPr>
        <w:jc w:val="both"/>
        <w:ind w:left="80" w:firstLine="1306"/>
        <w:spacing w:after="0" w:line="255" w:lineRule="auto"/>
        <w:tabs>
          <w:tab w:leader="none" w:pos="17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Borrowers shall indemnify Agent and Lenders, within ten (10) days after demand thereof, for the full amount of any Indemnified Taxes (including Indemnified Taxes imposed or asserted on or attributable to amounts payable under this Section 2.8) payable or paid by Agent or any Lender or required to be withheld or deducted from a payment to Agent or any Lender and any expenses arising therefrom or with respect thereto, whether or not such Indemnified Taxes and Other Taxes were correctly or legally imposed or asserted by the relevant Governmental Authority. A certificate in reasonable detail as to the amount of such payment or liability delivered to Borrowers by a Lender (with a copy to Agent), or by Agent on its own behalf or on behalf of a Lender, shall be conclusive absent manifest error.</w:t>
      </w:r>
    </w:p>
    <w:p>
      <w:pPr>
        <w:spacing w:after="0" w:line="193" w:lineRule="exact"/>
        <w:rPr>
          <w:rFonts w:ascii="Arial" w:cs="Arial" w:eastAsia="Arial" w:hAnsi="Arial"/>
          <w:sz w:val="18"/>
          <w:szCs w:val="18"/>
          <w:color w:val="auto"/>
        </w:rPr>
      </w:pPr>
    </w:p>
    <w:p>
      <w:pPr>
        <w:jc w:val="both"/>
        <w:ind w:left="80" w:firstLine="1306"/>
        <w:spacing w:after="0" w:line="253" w:lineRule="auto"/>
        <w:tabs>
          <w:tab w:leader="none" w:pos="1753"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withholding tax with respect to payments made under any Financing Document shall deliver to Borrower Representative and Agent, at the time or times prescribed by applicable Law or reasonably requested by Borrower Representative or Agent, such properly completed and executed documentation reasonably requested by Borrower Representative or Agent as will permit such payments to be made without withholding or at a reduced rate of withholding. In addition, any Lender, if reasonably requested by Borrower Representative or Agent, shall deliver such other documentation prescribed by applicable Law or reasonably requested by Borrowers or Agent as will enable Borrowers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2.8(c)(i), 2.8(c)(ii) and 2.8(e) below) shall not be required if in such Lender’s reasonable judgment such completion, execution or submission would subject such Lender to any material unreimbursed cost or expense or would materially prejudice the legal or commercial position of such Lender.</w:t>
      </w:r>
    </w:p>
    <w:p>
      <w:pPr>
        <w:spacing w:after="0" w:line="194" w:lineRule="exact"/>
        <w:rPr>
          <w:rFonts w:ascii="Arial" w:cs="Arial" w:eastAsia="Arial" w:hAnsi="Arial"/>
          <w:sz w:val="18"/>
          <w:szCs w:val="18"/>
          <w:color w:val="auto"/>
        </w:rPr>
      </w:pPr>
    </w:p>
    <w:p>
      <w:pPr>
        <w:jc w:val="both"/>
        <w:ind w:left="660" w:firstLine="1293"/>
        <w:spacing w:after="0" w:line="283" w:lineRule="auto"/>
        <w:tabs>
          <w:tab w:leader="none" w:pos="2319" w:val="left"/>
        </w:tabs>
        <w:numPr>
          <w:ilvl w:val="2"/>
          <w:numId w:val="43"/>
        </w:numPr>
        <w:rPr>
          <w:rFonts w:ascii="Arial" w:cs="Arial" w:eastAsia="Arial" w:hAnsi="Arial"/>
          <w:sz w:val="16"/>
          <w:szCs w:val="16"/>
          <w:color w:val="auto"/>
        </w:rPr>
      </w:pPr>
      <w:r>
        <w:rPr>
          <w:rFonts w:ascii="Arial" w:cs="Arial" w:eastAsia="Arial" w:hAnsi="Arial"/>
          <w:sz w:val="16"/>
          <w:szCs w:val="16"/>
          <w:color w:val="auto"/>
        </w:rPr>
        <w:t>Each Lender that is not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(each such Lender a “</w:t>
      </w:r>
      <w:r>
        <w:rPr>
          <w:rFonts w:ascii="Arial" w:cs="Arial" w:eastAsia="Arial" w:hAnsi="Arial"/>
          <w:sz w:val="16"/>
          <w:szCs w:val="16"/>
          <w:b w:val="1"/>
          <w:bCs w:val="1"/>
          <w:color w:val="auto"/>
        </w:rPr>
        <w:t>Foreign Lender</w:t>
      </w:r>
      <w:r>
        <w:rPr>
          <w:rFonts w:ascii="Arial" w:cs="Arial" w:eastAsia="Arial" w:hAnsi="Arial"/>
          <w:sz w:val="16"/>
          <w:szCs w:val="16"/>
          <w:color w:val="auto"/>
        </w:rPr>
        <w:t>”) shall, to the extent permitted by Law, execute and deliver to Borrower Representative and Agent (in such number of copies as shall be requested by the recipient) on or prior to the date on which such Foreign Lender becomes a Lender under this Agreement (and from time to time thereafter upon the reasonable request of the Borrower Representative or the Agent) whichever of the following is applicable: (A) in the case of a Foreign Lender claiming the benefits of an income tax treaty to which the United States is a party, (x) with respect to payments of interest under any Financing Document, two (2) properly completed and executed originals of United States Internal Revenue Service (“</w:t>
      </w:r>
      <w:r>
        <w:rPr>
          <w:rFonts w:ascii="Arial" w:cs="Arial" w:eastAsia="Arial" w:hAnsi="Arial"/>
          <w:sz w:val="16"/>
          <w:szCs w:val="16"/>
          <w:b w:val="1"/>
          <w:bCs w:val="1"/>
          <w:color w:val="auto"/>
        </w:rPr>
        <w:t>IRS</w:t>
      </w:r>
      <w:r>
        <w:rPr>
          <w:rFonts w:ascii="Arial" w:cs="Arial" w:eastAsia="Arial" w:hAnsi="Arial"/>
          <w:sz w:val="16"/>
          <w:szCs w:val="16"/>
          <w:color w:val="auto"/>
        </w:rPr>
        <w:t>”) Forms W-8BEN or W-8BEN-E (or successor form) establishing an exemption from, or reduction of, U.S. federal withholding tax pursuant to the “interest” article of such tax treaty and</w:t>
      </w:r>
    </w:p>
    <w:p>
      <w:pPr>
        <w:spacing w:after="0" w:line="6" w:lineRule="exact"/>
        <w:rPr>
          <w:rFonts w:ascii="Arial" w:cs="Arial" w:eastAsia="Arial" w:hAnsi="Arial"/>
          <w:sz w:val="16"/>
          <w:szCs w:val="16"/>
          <w:color w:val="auto"/>
        </w:rPr>
      </w:pPr>
    </w:p>
    <w:p>
      <w:pPr>
        <w:jc w:val="both"/>
        <w:ind w:left="660" w:right="20" w:hanging="4"/>
        <w:spacing w:after="0" w:line="295" w:lineRule="auto"/>
        <w:tabs>
          <w:tab w:leader="none" w:pos="918"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any other applicable payments under any Financing Documents, two (2) properly completed and executed originals of IRS Forms W-8BEN or W-8BEN-E (or successor form) establishing an exemption from, or reduction of, U.S. federal withholding tax pursuant to the “business profits” or “other income” article of such tax treaty; (B) two (2) executed originals of Form W-8ECI (or successor form); (C) in the case of a Foreign Lender claiming the benefits of the exemption for portfolio interest under Section 881(c) of the Code, (x) a certificate substantially in the form 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625" w:right="239" w:bottom="1440" w:gutter="0" w:footer="0" w:header="0"/>
        </w:sectPr>
      </w:pPr>
    </w:p>
    <w:bookmarkStart w:id="41" w:name="page42"/>
    <w:bookmarkEnd w:id="41"/>
    <w:p>
      <w:pPr>
        <w:jc w:val="both"/>
        <w:ind w:left="580"/>
        <w:spacing w:after="0" w:line="286" w:lineRule="auto"/>
        <w:rPr>
          <w:sz w:val="20"/>
          <w:szCs w:val="20"/>
          <w:color w:val="auto"/>
        </w:rPr>
      </w:pP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Arial" w:cs="Arial" w:eastAsia="Arial" w:hAnsi="Arial"/>
          <w:sz w:val="16"/>
          <w:szCs w:val="16"/>
          <w:b w:val="1"/>
          <w:bCs w:val="1"/>
          <w:color w:val="auto"/>
        </w:rPr>
        <w:t>U.S. Tax Compliance Certificate</w:t>
      </w:r>
      <w:r>
        <w:rPr>
          <w:rFonts w:ascii="Arial" w:cs="Arial" w:eastAsia="Arial" w:hAnsi="Arial"/>
          <w:sz w:val="16"/>
          <w:szCs w:val="16"/>
          <w:color w:val="auto"/>
        </w:rPr>
        <w:t xml:space="preserve">”) and (y) two (2) executed originals of IRS Forms W-8BEN or W-8BEN-E (or successor form); (D) to the extent a Foreign Lender is not the beneficial owner, two (2) executed originals of IRS Form W-8IMY, accompanied by IRS Form W-8ECI, IRS Form W-8BEN or W-8BEN-E (or successor form), a U.S. Tax Compliance Certificate substantially in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F-3</w:t>
      </w:r>
      <w:r>
        <w:rPr>
          <w:rFonts w:ascii="Arial" w:cs="Arial" w:eastAsia="Arial" w:hAnsi="Arial"/>
          <w:sz w:val="16"/>
          <w:szCs w:val="16"/>
          <w:color w:val="auto"/>
        </w:rPr>
        <w:t xml:space="preserve">, IRS Form W-9 (or successor form), and/or other certification documents from each beneficial owner, as applicable;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Foreign Lender is a partnership and one or more direct or indirect partners of such Foreign Lender are claiming the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interest exemption, such Foreign Lender may provide a U.S. Tax Compliance Certificate substantially in the form of </w:t>
      </w:r>
      <w:r>
        <w:rPr>
          <w:rFonts w:ascii="Arial" w:cs="Arial" w:eastAsia="Arial" w:hAnsi="Arial"/>
          <w:sz w:val="16"/>
          <w:szCs w:val="16"/>
          <w:u w:val="single" w:color="auto"/>
          <w:color w:val="auto"/>
        </w:rPr>
        <w:t>Exhibit F-4</w:t>
      </w:r>
      <w:r>
        <w:rPr>
          <w:rFonts w:ascii="Arial" w:cs="Arial" w:eastAsia="Arial" w:hAnsi="Arial"/>
          <w:sz w:val="16"/>
          <w:szCs w:val="16"/>
          <w:color w:val="auto"/>
        </w:rPr>
        <w:t xml:space="preserve"> on behalf of each such direct and indirect partner; or (E) other applicable forms, certificates or documents prescribed by the IRS. Each Lender agrees that if any form or certification it previously delivered expires or becomes obsolete or inaccurate in any respect, it shall update such form or certification or promptly notify Borrower Representative and Agent in writing of its legal inability to do so. In addition, to the extent permitted by applicable Law, such forms shall be delivered by each Foreign Lender upon the obsolescence or invalidity of any form previously delivered by such Foreign Lender. Each Foreign Lender shall promptly notify Borrower Representative at any time it determines that it is no longer in a position to provide any previously delivered certificate to Borrower Representative (or any other form of certification adopted by the U.S. taxing authorities for such purpose).</w:t>
      </w:r>
    </w:p>
    <w:p>
      <w:pPr>
        <w:spacing w:after="0" w:line="172" w:lineRule="exact"/>
        <w:rPr>
          <w:sz w:val="20"/>
          <w:szCs w:val="20"/>
          <w:color w:val="auto"/>
        </w:rPr>
      </w:pPr>
    </w:p>
    <w:p>
      <w:pPr>
        <w:jc w:val="both"/>
        <w:ind w:left="580" w:firstLine="1293"/>
        <w:spacing w:after="0" w:line="270" w:lineRule="auto"/>
        <w:tabs>
          <w:tab w:leader="none" w:pos="2326"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Lender that is a “United States person” (as such term is defined in Section 7701(a)(30) of the Code) for U.S. federal income tax purposes and is a party hereto on the Closing Date or purports to become an assignee of an interest pursuant to Section 11.17(a) after the Closing Date (unless such Lender was already a Lender hereunder immediately prior to such assignment) shall, to the extent permitted by Law, provide to Borrower Representative and Agent on or prior to the date on which such Lender becomes a Lender under this Agreement (and from time to time thereafter upon the reasonable request of the Borrower Representative or the Agent), a properly completed and executed IRS Form W-9 or any successor form certifying as to such Lender’s entitlement to an exemption from U.S. backup withholding and other applicable forms, certificates or documents prescribed by the IRS or reasonably requested by Borrower Representative or Agent. Each such Lender shall promptly notify Borrowers at any time it determines that any certificate previously delivered to Borrower Representative (or any other form of certification adopted by the U.S. governmental authorities for such purposes) is no longer valid.</w:t>
      </w:r>
    </w:p>
    <w:p>
      <w:pPr>
        <w:spacing w:after="0" w:line="181" w:lineRule="exact"/>
        <w:rPr>
          <w:rFonts w:ascii="Arial" w:cs="Arial" w:eastAsia="Arial" w:hAnsi="Arial"/>
          <w:sz w:val="17"/>
          <w:szCs w:val="17"/>
          <w:color w:val="auto"/>
        </w:rPr>
      </w:pPr>
    </w:p>
    <w:p>
      <w:pPr>
        <w:jc w:val="both"/>
        <w:ind w:left="580" w:firstLine="1293"/>
        <w:spacing w:after="0" w:line="255" w:lineRule="auto"/>
        <w:tabs>
          <w:tab w:leader="none" w:pos="2351"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Borrower Representative and the Agent (in such number of copies as shall be requested by the recipient) on or prior to the date on which such Foreign Lender becomes a Lender under this Agreement (and from time to time thereafter upon the reasonable request of the Borrower Representative or the Agent), executed copies of any other form prescribed by applicable Law as a basis for claiming exemption from or a reduction in U.S. Federal withholding Tax, duly completed, together with such supplementary documentation as may be prescribed by applicable law to permit Borrowers or Agent to determine the withholding or deduction required to be made.</w:t>
      </w:r>
    </w:p>
    <w:p>
      <w:pPr>
        <w:spacing w:after="0" w:line="193" w:lineRule="exact"/>
        <w:rPr>
          <w:rFonts w:ascii="Arial" w:cs="Arial" w:eastAsia="Arial" w:hAnsi="Arial"/>
          <w:sz w:val="18"/>
          <w:szCs w:val="18"/>
          <w:color w:val="auto"/>
        </w:rPr>
      </w:pPr>
    </w:p>
    <w:p>
      <w:pPr>
        <w:jc w:val="both"/>
        <w:ind w:firstLine="1306"/>
        <w:spacing w:after="0" w:line="264" w:lineRule="auto"/>
        <w:tabs>
          <w:tab w:leader="none" w:pos="17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Lender determines, in its sole discretion exercised in good faith, that it has received a refund in respect of any Taxes as to which it has been indemnified by any Borrower pursuant to this Section 2.8 (including by the payment of additional amounts pursuant to this Section 2.8), then it shall promptly pay an amount equal to such refund to Borrowers, net of all</w:t>
      </w:r>
    </w:p>
    <w:p>
      <w:pPr>
        <w:spacing w:after="0" w:line="200" w:lineRule="exact"/>
        <w:rPr>
          <w:sz w:val="20"/>
          <w:szCs w:val="20"/>
          <w:color w:val="auto"/>
        </w:rPr>
      </w:pP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340"/>
          </w:cols>
          <w:pgMar w:left="320" w:top="625" w:right="239" w:bottom="1440" w:gutter="0" w:footer="0" w:header="0"/>
        </w:sectPr>
      </w:pPr>
    </w:p>
    <w:bookmarkStart w:id="42" w:name="page43"/>
    <w:bookmarkEnd w:id="42"/>
    <w:p>
      <w:pPr>
        <w:jc w:val="both"/>
        <w:spacing w:after="0" w:line="253" w:lineRule="auto"/>
        <w:rPr>
          <w:sz w:val="20"/>
          <w:szCs w:val="20"/>
          <w:color w:val="auto"/>
        </w:rPr>
      </w:pPr>
      <w:r>
        <w:rPr>
          <w:rFonts w:ascii="Arial" w:cs="Arial" w:eastAsia="Arial" w:hAnsi="Arial"/>
          <w:sz w:val="18"/>
          <w:szCs w:val="18"/>
          <w:color w:val="auto"/>
        </w:rPr>
        <w:t xml:space="preserve">reasonable out-of-pocket expenses of such Lender or of Agent with respect thereto, including any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Borrowers, upon the written request of such Lender or Agent, agree to repay any amount paid over to Borrowers to such Lender or to Agent (plus any related penalties, interest or other charges imposed by the relevant Governmental Authority) in the event such Lender or Agent is required, for any reason, to disgorge or otherwise repay such refund. Notwithstanding anything to the contrary in this Section 2.8, in no event will the indemnified party be required to pay any amount to an indemnifying party pursuant to this Section 2.8(d)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2.8 shall not be construed to require any indemnified party to make available its Tax returns (or any other information relating to its Taxes that it deems confidential) to the indemnifying party or any other Person.</w:t>
      </w:r>
    </w:p>
    <w:p>
      <w:pPr>
        <w:spacing w:after="0" w:line="197" w:lineRule="exact"/>
        <w:rPr>
          <w:sz w:val="20"/>
          <w:szCs w:val="20"/>
          <w:color w:val="auto"/>
        </w:rPr>
      </w:pPr>
    </w:p>
    <w:p>
      <w:pPr>
        <w:jc w:val="both"/>
        <w:ind w:left="80" w:firstLine="1306"/>
        <w:spacing w:after="0" w:line="286" w:lineRule="auto"/>
        <w:tabs>
          <w:tab w:leader="none" w:pos="1771"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 payment made to a Lender under any Financing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Representative and Agent at the time or times prescribed by Law and at such time or times reasonably requested by Borrower Representative or Agent such documentation prescribed by applicable Law (including as prescribed by Section 1471(b)</w:t>
      </w:r>
    </w:p>
    <w:p>
      <w:pPr>
        <w:spacing w:after="0" w:line="1" w:lineRule="exact"/>
        <w:rPr>
          <w:rFonts w:ascii="Arial" w:cs="Arial" w:eastAsia="Arial" w:hAnsi="Arial"/>
          <w:sz w:val="16"/>
          <w:szCs w:val="16"/>
          <w:color w:val="auto"/>
        </w:rPr>
      </w:pPr>
    </w:p>
    <w:p>
      <w:pPr>
        <w:jc w:val="both"/>
        <w:ind w:left="80"/>
        <w:spacing w:after="0" w:line="254"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Borrower Representative or Agent as may be necessary for Borrowers and Agent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189" w:lineRule="exact"/>
        <w:rPr>
          <w:rFonts w:ascii="Arial" w:cs="Arial" w:eastAsia="Arial" w:hAnsi="Arial"/>
          <w:sz w:val="16"/>
          <w:szCs w:val="16"/>
          <w:color w:val="auto"/>
        </w:rPr>
      </w:pPr>
    </w:p>
    <w:p>
      <w:pPr>
        <w:jc w:val="both"/>
        <w:ind w:left="80" w:firstLine="1306"/>
        <w:spacing w:after="0" w:line="290" w:lineRule="auto"/>
        <w:tabs>
          <w:tab w:leader="none" w:pos="1739"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Each Lender shall severally indemnify Agent, within ten (10) days after demand therefor, for (i) any Indemnified Taxes attributable to such Lender (but only to the extent that any Credit Party has not already indemnified Agent for such Indemnified Taxes and without limiting the obligation of the Credit Parties to do so), (ii) any Taxes attributable to such Lender’s failure to comply with the provisions of Section 11.17 relating to the maintenance of a Participant Register and (iii) any Excluded Taxes attributable to such Lender, in each case, that are payable or paid by Agent in connection with any Financing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 any Financing Document or otherwise payable by Agent to such Lender from any other source against any amount due to Agent under this paragraph (f).</w:t>
      </w:r>
    </w:p>
    <w:p>
      <w:pPr>
        <w:spacing w:after="0" w:line="166" w:lineRule="exact"/>
        <w:rPr>
          <w:rFonts w:ascii="Arial" w:cs="Arial" w:eastAsia="Arial" w:hAnsi="Arial"/>
          <w:sz w:val="16"/>
          <w:szCs w:val="16"/>
          <w:color w:val="auto"/>
        </w:rPr>
      </w:pPr>
    </w:p>
    <w:p>
      <w:pPr>
        <w:ind w:left="80" w:firstLine="1306"/>
        <w:spacing w:after="0" w:line="277" w:lineRule="auto"/>
        <w:tabs>
          <w:tab w:leader="none" w:pos="17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party’s obligations under Section 2.8(a) through (f) shall survive the resignation or replacement of the Agent or any assignment of rights by, or the replacement of, a Lender, and the repayment, satisfaction or discharge of all Obligations hereunder.</w:t>
      </w:r>
    </w:p>
    <w:p>
      <w:pPr>
        <w:spacing w:after="0" w:line="170" w:lineRule="exact"/>
        <w:rPr>
          <w:rFonts w:ascii="Arial" w:cs="Arial" w:eastAsia="Arial" w:hAnsi="Arial"/>
          <w:sz w:val="18"/>
          <w:szCs w:val="18"/>
          <w:color w:val="auto"/>
        </w:rPr>
      </w:pPr>
    </w:p>
    <w:p>
      <w:pPr>
        <w:jc w:val="both"/>
        <w:ind w:left="80" w:firstLine="1306"/>
        <w:spacing w:after="0" w:line="257" w:lineRule="auto"/>
        <w:tabs>
          <w:tab w:leader="none" w:pos="17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Lender shall reasonably determine that the adoption or taking effect of, or any change in, any applicable Law regarding capital adequacy, in each instance, after the Closing Date, or any change after the Closing Date in the interpretation, administration or application thereof by any Governmental Authority, central bank or comparable agency charged with the interpretation, administration or application thereof, or the compliance by any Lender or any Person controlling such Lender with any request, guideline or directive regarding capital adequacy (whether or not having the force of Law) of any such Governmental Authority, central bank or comparable agency adopted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625" w:right="239" w:bottom="1440" w:gutter="0" w:footer="0" w:header="0"/>
        </w:sectPr>
      </w:pPr>
    </w:p>
    <w:bookmarkStart w:id="43" w:name="page44"/>
    <w:bookmarkEnd w:id="43"/>
    <w:p>
      <w:pPr>
        <w:jc w:val="both"/>
        <w:spacing w:after="0" w:line="269" w:lineRule="auto"/>
        <w:rPr>
          <w:sz w:val="20"/>
          <w:szCs w:val="20"/>
          <w:color w:val="auto"/>
        </w:rPr>
      </w:pPr>
      <w:r>
        <w:rPr>
          <w:rFonts w:ascii="Arial" w:cs="Arial" w:eastAsia="Arial" w:hAnsi="Arial"/>
          <w:sz w:val="17"/>
          <w:szCs w:val="17"/>
          <w:color w:val="auto"/>
        </w:rPr>
        <w:t xml:space="preserve">otherwise taking effect after the Closing Date, has or would have the effect of reducing the rate of return on such Lender’s or such controlling Person’s capital as a consequence of such Lender’s obligations hereunder to a level below that which such Lender or such controlling Person could have achieved but for such adoption, taking effect, change, interpretation, administration, application or compliance (taking into consideration such Lender’s or such controlling Person’s policies with respect to capital adequacy) then from time to time, upon demand by such Lender (which demand shall be accompanied by a certificate setting forth the basis for such demand and a calculation of the amount thereof in reasonable detail, a copy of which shall be furnished to Agent), Borrowers shall promptly pay to such Lender such additional amount as will compensate such Lender or such controlling Person for such reduction, so long as such amounts have accrued on or after the day which is two hundred seventy (270) days prior to the date on which such Lender first made demand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in this Agreement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applicable Law”, regardless of the date enacted, adopted or issued.</w:t>
      </w:r>
    </w:p>
    <w:p>
      <w:pPr>
        <w:spacing w:after="0" w:line="180" w:lineRule="exact"/>
        <w:rPr>
          <w:sz w:val="20"/>
          <w:szCs w:val="20"/>
          <w:color w:val="auto"/>
        </w:rPr>
      </w:pPr>
    </w:p>
    <w:p>
      <w:pPr>
        <w:jc w:val="both"/>
        <w:ind w:left="80" w:firstLine="1306"/>
        <w:spacing w:after="0" w:line="290" w:lineRule="auto"/>
        <w:tabs>
          <w:tab w:leader="none" w:pos="178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any Lender requests compensation under either Section 2.1(a)(iv) or Section 2.8(h), or requires Borrowers to pay any additional amount to any Lender or any Governmental Authority for the account of any Lender pursuant to Section 2.8, then, upon the written request of Borrower Representative, such Lender shall use reasonable efforts to designate a different lending office for funding or booking its Loans hereunder or to assign its rights and obligations hereunder (subject to the provisions of Section 11.17) to another of its offices, branches or affiliates, if, in the reasonable judgment of such Lender, such designation or assignment (i) would eliminate or materially reduce amounts payable pursuant to any such Section, as the case may be, in the future, (ii) would not subject such Lender to any unreimbursed cost or expense and (iii) would not otherwise be disadvantageous to such Lender (as determined in its sole good faith discretion). Without limitation of the provisions of Section 12.14, each Borrower hereby agrees to pay all reasonable and documented, out-of-pocket costs and expenses incurred by any Lender in connection with any such designation or assignment.</w:t>
      </w:r>
    </w:p>
    <w:p>
      <w:pPr>
        <w:spacing w:after="0" w:line="16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Appointment of Borrower Representative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1" w:lineRule="auto"/>
        <w:tabs>
          <w:tab w:leader="none" w:pos="17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Each Borrower hereby irrevocably appoints and constitutes Borrower Representative as its agent and attorney-in-fact to request and receive Loans in the name or on behalf of such Borrower and any other Borrowers, deliver Notices of Borrowing, give instructions with respect to the disbursement of the proceeds of the Loans , giving and receiving all other notices and consents hereunder or under any of the other Financing Documents and taking all other actions (including in respect of compliance with covenants) in the name or on behalf of any Borrower or Borrowers pursuant to this Agreement and the other Financing Documents. Agent and Lenders may disburse the Loans to such bank account of Borrower Representative or a Borrower or otherwise make such Loans to a Borrower, in each case as Borrower Representative may designate or direct, without notice to any other Borrower. Notwithstanding anything to the contrary contained herein, Agent may at any time and from time to time require that Loans to or for the account of any Borrower be disbursed directly to an operating account of such Borrower.</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704" w:val="left"/>
        </w:tabs>
        <w:numPr>
          <w:ilvl w:val="0"/>
          <w:numId w:val="49"/>
        </w:numPr>
        <w:rPr>
          <w:rFonts w:ascii="Arial" w:cs="Arial" w:eastAsia="Arial" w:hAnsi="Arial"/>
          <w:sz w:val="18"/>
          <w:szCs w:val="18"/>
          <w:color w:val="auto"/>
        </w:rPr>
      </w:pPr>
      <w:r>
        <w:rPr>
          <w:rFonts w:ascii="Arial" w:cs="Arial" w:eastAsia="Arial" w:hAnsi="Arial"/>
          <w:sz w:val="18"/>
          <w:szCs w:val="18"/>
          <w:color w:val="auto"/>
        </w:rPr>
        <w:t>Borrower Representative hereby accepts the appointment by Borrowers to act as the agent and attorney-in-fact of Borrowers pursuant to this Section 2.9. Borrower Representative shall ensure that the disbursement of any Loans that are at any time requested by or to be remitted to or for the account of a Borrower, shall be remitted or issued to or for the account of such Borrower.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20"/>
          </w:cols>
          <w:pgMar w:left="240" w:top="625" w:right="239" w:bottom="1440" w:gutter="0" w:footer="0" w:header="0"/>
        </w:sectPr>
      </w:pPr>
    </w:p>
    <w:bookmarkStart w:id="44" w:name="page45"/>
    <w:bookmarkEnd w:id="44"/>
    <w:p>
      <w:pPr>
        <w:jc w:val="both"/>
        <w:ind w:firstLine="1305"/>
        <w:spacing w:after="0" w:line="264" w:lineRule="auto"/>
        <w:tabs>
          <w:tab w:leader="none" w:pos="1692"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Borrower hereby irrevocably appoints and constitutes Borrower Representative as its agent to receive statements on account and all other notices from Agent, Lenders with respect to the Obligations or otherwise under or in connection with this Agreement and the other Financing Documents.</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notice, election, representation, warranty, agreement or undertaking made or delivered by or on behalf of any Borrower by Borrower Representative shall be deemed for all purposes to have been made or delivered by such Borrower, as the case may be, and shall be binding upon and enforceable against such Borrower to the same extent as if made or delivered directly by such Borrower.</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7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resignation by or termination of the appointment of Borrower Representative as agent and attorney-in-fact as aforesaid shall be effective, except after ten (10) Business Days’ prior written notice to Agent. If the Borrower Representative resigns under this Agreement, Borrowers shall be entitled to appoint a successor Borrower Representative (which shall be a Borrower and shall be reasonably acceptable to Agent as such successor). Upon the acceptance of its appointment as successor Borrower Representative hereunder, such successor Borrower Representative shall succeed to all the rights, powers and duties of the retiring Borrower Representative and the term “Borrower Representative” means such successor Borrower Representative for all purposes of this Agreement and the other Financing Documents, and the retiring or terminated Borrower Representative’s appointment, powers and duties as Borrower Representative shall be thereupon terminated.</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Joint and Several Liability; Rights of Contribution; Subordination and Subrogation</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86" w:lineRule="auto"/>
        <w:tabs>
          <w:tab w:leader="none" w:pos="1881"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Borrowers are defined collectively to include all Persons named as one of the Borrowers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references herein to “any Borrower”, “each Borrower” or similar references, shall be construed as a reference to each individual Person named as one of the Borrowers herein. Each Person so named shall be jointly and severally liable for all of the obligations of Borrowers under this Agreement. Each Borrower, individually, expressly understands, agrees and acknowledges, that the credit facilities would not be made available on the terms herein in the absence of the collective credit of all of the Persons named as the Borrowers herein, the joint and several liability of all such Persons, and the cross-collateralization of the collateral of all such Persons. Accordingly, each Borrower individually acknowledges that the benefit to each of the Persons named as one of the Borrowers as a whole constitutes reasonably equivalent value, regardless of the amount of the credit facilities actually borrowed by, advanced to, or the amount of collateral provided by, any individual Borrower. In addition, each entity named as one of the Borrowers herein hereby acknowledges and agrees that all of the representations, warranties, covenants, obligations, conditions, agreements and other terms contained in this Agreement shall be applicable to and shall be binding upon and measured and enforceable individually against each Person named as one of the Borrowers herein as well as all such Persons when taken together. By way of illustration, but without limiting the generality of the foregoing, the terms of Section 10.1 of this Agreement are to be applied to each individual Person named as one of the Borrowers herein (as well as to all such Persons taken as a whole), such that the occurrence of any of the events described in Section 10.1 of this Agreement as to any Person named as one of the Borrowers herein shall constitute an Event of Default even if such event has not occurred as to any other Persons named as the Borrowers or as to all such Persons taken as a whole.</w:t>
      </w:r>
    </w:p>
    <w:p>
      <w:pPr>
        <w:spacing w:after="0" w:line="171" w:lineRule="exact"/>
        <w:rPr>
          <w:rFonts w:ascii="Arial" w:cs="Arial" w:eastAsia="Arial" w:hAnsi="Arial"/>
          <w:sz w:val="16"/>
          <w:szCs w:val="16"/>
          <w:color w:val="auto"/>
        </w:rPr>
      </w:pPr>
    </w:p>
    <w:p>
      <w:pPr>
        <w:jc w:val="both"/>
        <w:ind w:left="80" w:firstLine="1306"/>
        <w:spacing w:after="0" w:line="259" w:lineRule="auto"/>
        <w:tabs>
          <w:tab w:leader="none" w:pos="18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Notwithstanding any provisions of this Agreement to the contrary, it is intended that the joint and several nature of the liability of each Borrower for the Obligations and the Liens granted by Borrowers to secure the Obligations, not constitute a Fraudulent Conveyance (as defined below). Consequently, Agent, Lenders and each Borrower agree that if the liability of a Borrower for the Obligations, or any Liens granted by such Borrower securing the Obligations would, but for the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057" w:right="2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application of this sentence, constitute a Fraudulent Conveyance, the liability of such Borrower and the Liens securing such liability shall be valid and enforceable only to the maximum extent that would not cause such liability or such Lien to constitute a Fraudulent Conveyance, and the liability of such Borrower and this Agreement shall automatically be deemed to have been amended accordingly. For purposes hereof, the term “</w:t>
      </w:r>
      <w:r>
        <w:rPr>
          <w:rFonts w:ascii="Arial" w:cs="Arial" w:eastAsia="Arial" w:hAnsi="Arial"/>
          <w:sz w:val="18"/>
          <w:szCs w:val="18"/>
          <w:b w:val="1"/>
          <w:bCs w:val="1"/>
          <w:color w:val="auto"/>
        </w:rPr>
        <w:t>Fraudulent Conveyance</w:t>
      </w:r>
      <w:r>
        <w:rPr>
          <w:rFonts w:ascii="Arial" w:cs="Arial" w:eastAsia="Arial" w:hAnsi="Arial"/>
          <w:sz w:val="18"/>
          <w:szCs w:val="18"/>
          <w:color w:val="auto"/>
        </w:rPr>
        <w:t>” means a fraudulent conveyance under Section 548 of Chapter 11 of Title II of the Bankruptcy Code or a fraudulent conveyance or fraudulent transfer under the applicable provisions of any fraudulent conveyance or fraudulent transfer law or similar law of any state, nation or other governmental unit, as in effect from time to time.</w:t>
      </w:r>
    </w:p>
    <w:p>
      <w:pPr>
        <w:spacing w:after="0" w:line="193" w:lineRule="exact"/>
        <w:rPr>
          <w:sz w:val="20"/>
          <w:szCs w:val="20"/>
          <w:color w:val="auto"/>
        </w:rPr>
      </w:pPr>
    </w:p>
    <w:p>
      <w:pPr>
        <w:jc w:val="both"/>
        <w:ind w:left="80" w:firstLine="1306"/>
        <w:spacing w:after="0" w:line="286" w:lineRule="auto"/>
        <w:tabs>
          <w:tab w:leader="none" w:pos="17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Agent is hereby authorized, without notice or demand (except as otherwise specifically required under this Agreement) and without affecting the liability of any Borrower hereunder, at any time and from time to time, to (i) renew, extend or otherwise increase the time for payment of the Obligations; (ii) with the written agreement of any Borrower, change the terms relating to the Obligations or otherwise modify, amend or change the terms of any Note or other agreement, document or instrument now or hereafter executed by any Borrower and delivered to Agent for any Lender; (iii) accept partial payments of the Obligations; (iv) take and hold any Collateral for the payment of the Obligations or for the payment of any guaranties of the Obligations and exchange, enforce, waive and release any such Collateral; (v) apply any such Collateral and direct the order or manner of sale thereof as Agent, in its sole discretion, may determine; and (vi) settle, release, compromise, collect or otherwise liquidate the Obligations and any Collateral therefor in any manner, all guarantor and surety defenses being hereby waived by each Borrower. Without limitations of the foregoing, with respect to the Obligations, each Borrower hereby makes and adopts each of the agreements and waivers set forth in each Guarantee, the same being incorporated hereby by reference. Except as specifically provided in this Agreement or any of the other Financing Documents, Agent shall have the exclusive right to determine the time and manner of application of any payments or credits, whether received from any Borrower or any other source, and such determination shall be binding on all Borrowers. All such payments and credits may be applied, reversed and reapplied, in whole or in part, to any of the Obligations that Agent shall determine, in its sole discretion, without affecting the validity or enforceability of the Obligations of the other Borrower.</w:t>
      </w:r>
    </w:p>
    <w:p>
      <w:pPr>
        <w:spacing w:after="0" w:line="174" w:lineRule="exact"/>
        <w:rPr>
          <w:rFonts w:ascii="Arial" w:cs="Arial" w:eastAsia="Arial" w:hAnsi="Arial"/>
          <w:sz w:val="16"/>
          <w:szCs w:val="16"/>
          <w:color w:val="auto"/>
        </w:rPr>
      </w:pPr>
    </w:p>
    <w:p>
      <w:pPr>
        <w:ind w:left="1840" w:hanging="454"/>
        <w:spacing w:after="0"/>
        <w:tabs>
          <w:tab w:leader="none" w:pos="18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Each Borrower hereby agrees that, except as hereinafter provided, its obligations hereunder shall be unconditional, irrespective of</w:t>
      </w:r>
    </w:p>
    <w:p>
      <w:pPr>
        <w:spacing w:after="0" w:line="46" w:lineRule="exact"/>
        <w:rPr>
          <w:rFonts w:ascii="Arial" w:cs="Arial" w:eastAsia="Arial" w:hAnsi="Arial"/>
          <w:sz w:val="16"/>
          <w:szCs w:val="16"/>
          <w:color w:val="auto"/>
        </w:rPr>
      </w:pPr>
    </w:p>
    <w:p>
      <w:pPr>
        <w:jc w:val="both"/>
        <w:ind w:left="80" w:firstLine="9"/>
        <w:spacing w:after="0" w:line="268" w:lineRule="auto"/>
        <w:tabs>
          <w:tab w:leader="none" w:pos="3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absence of any attempt to collect the Obligations from any obligor or other action to enforce the same; (ii) the waiver or consent by Agent with respect to any provision of any instrument evidencing the Obligations, or any part thereof, or any other agreement heretofore, now or hereafter executed by a Borrower and delivered to Agent; (iii) failure by Agent to take any steps to perfect and maintain its security interest in, or to preserve its rights to, any security or collateral for the Obligations; (iv) the institution of any proceeding under the Bankruptcy Code, or any similar proceeding, by or against a Borrower or Agent’s election in any such proceeding of the application of Section 1111(b)(2) of the Bankruptcy Code; (v) any borrowing or grant of a security interest by a Borrower as debtor-in-possession, under Section 364 of the Bankruptcy Code; (vi) the disallowance, under Section 502 of the Bankruptcy Code, of all or any portion of Agent’s claim(s) for repayment of any of the Obligations; or (vii) any other circumstance other than payment in full of the Obligations which might otherwise constitute a legal or equitable discharge or defense of a guarantor or surety.</w:t>
      </w:r>
    </w:p>
    <w:p>
      <w:pPr>
        <w:spacing w:after="0" w:line="184" w:lineRule="exact"/>
        <w:rPr>
          <w:rFonts w:ascii="Arial" w:cs="Arial" w:eastAsia="Arial" w:hAnsi="Arial"/>
          <w:sz w:val="17"/>
          <w:szCs w:val="17"/>
          <w:color w:val="auto"/>
        </w:rPr>
      </w:pPr>
    </w:p>
    <w:p>
      <w:pPr>
        <w:jc w:val="both"/>
        <w:ind w:left="80" w:firstLine="1306"/>
        <w:spacing w:after="0" w:line="302" w:lineRule="auto"/>
        <w:tabs>
          <w:tab w:leader="none" w:pos="1813" w:val="left"/>
        </w:tabs>
        <w:numPr>
          <w:ilvl w:val="1"/>
          <w:numId w:val="53"/>
        </w:numPr>
        <w:rPr>
          <w:rFonts w:ascii="Arial" w:cs="Arial" w:eastAsia="Arial" w:hAnsi="Arial"/>
          <w:sz w:val="16"/>
          <w:szCs w:val="16"/>
          <w:color w:val="auto"/>
        </w:rPr>
      </w:pPr>
      <w:r>
        <w:rPr>
          <w:rFonts w:ascii="Arial" w:cs="Arial" w:eastAsia="Arial" w:hAnsi="Arial"/>
          <w:sz w:val="16"/>
          <w:szCs w:val="16"/>
          <w:color w:val="auto"/>
        </w:rPr>
        <w:t xml:space="preserve">Borrowers hereby agree, as between themselves, that to the extent that Agent, on behalf of Lenders, shall have received from any Borrower any Recovery Amount (as defined below), then the paying Borrower shall have a right of contribution against each other Borrower in an amount equal to such other Borrower’s contributive share of such Recovery Amount;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any Borrower suffers a Deficiency Amount (as defined below), then the Borrower suffering the Deficiency Amount shall be entitled to seek and receive contribution from and against the other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625" w:right="2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6"/>
          <w:szCs w:val="16"/>
          <w:color w:val="auto"/>
        </w:rPr>
        <w:t xml:space="preserve">Borrowers in an amount equal to the Deficiency Amount;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no event shall the aggregate amounts so reimbursed by reason of the contribution of any Borrower equal or exceed an amount that would, if paid, constitute or result in Fraudulent Conveyance. Until all Obligations have been paid and satisfied in full, no payment made by or for the account of a Borrower including, without limitation, (i) a payment made by such Borrower on behalf of the liabilities of any other Borrower, or (ii) a payment made by any other Guarantor under any Guarantee, shall entitle such Borrower, by subrogation or otherwise, to any payment from such other Borrower or from or out of such other Borrower’s property. The right of each Borrower to receive any contribution under this Section 2.10(e) or by subrogation or otherwise from any other Borrower shall be subordinate in right of payment to the Obligations and such Borrower shall not exercise any right or remedy against such other Borrower or any property of such other Borrower by reason of any performance of such Borrower of its joint and several obligations hereunder, until the Obligations have been indefeasibly paid and satisfied in full, and no Borrower shall exercise any right or remedy with respect to this Section 2.10(e) until the Obligations have been indefeasibly paid and satisfied in full. As used in this Section 2.10(e), the term “</w:t>
      </w:r>
      <w:r>
        <w:rPr>
          <w:rFonts w:ascii="Arial" w:cs="Arial" w:eastAsia="Arial" w:hAnsi="Arial"/>
          <w:sz w:val="16"/>
          <w:szCs w:val="16"/>
          <w:b w:val="1"/>
          <w:bCs w:val="1"/>
          <w:color w:val="auto"/>
        </w:rPr>
        <w:t>Recovery Amount</w:t>
      </w:r>
      <w:r>
        <w:rPr>
          <w:rFonts w:ascii="Arial" w:cs="Arial" w:eastAsia="Arial" w:hAnsi="Arial"/>
          <w:sz w:val="16"/>
          <w:szCs w:val="16"/>
          <w:color w:val="auto"/>
        </w:rPr>
        <w:t>” means the amount of proceeds received by or credited to Agent from the exercise of any remedy of the Lenders under this Agreement or the other Financing Documents, including, without limitation, the sale of any Collateral. As used in this Section 2.10(e), the term “</w:t>
      </w:r>
      <w:r>
        <w:rPr>
          <w:rFonts w:ascii="Arial" w:cs="Arial" w:eastAsia="Arial" w:hAnsi="Arial"/>
          <w:sz w:val="16"/>
          <w:szCs w:val="16"/>
          <w:b w:val="1"/>
          <w:bCs w:val="1"/>
          <w:color w:val="auto"/>
        </w:rPr>
        <w:t>Deficiency</w:t>
      </w:r>
      <w:r>
        <w:rPr>
          <w:rFonts w:ascii="Arial" w:cs="Arial" w:eastAsia="Arial" w:hAnsi="Arial"/>
          <w:sz w:val="16"/>
          <w:szCs w:val="16"/>
          <w:color w:val="auto"/>
        </w:rPr>
        <w:t xml:space="preserve"> </w:t>
      </w:r>
      <w:r>
        <w:rPr>
          <w:rFonts w:ascii="Arial" w:cs="Arial" w:eastAsia="Arial" w:hAnsi="Arial"/>
          <w:sz w:val="16"/>
          <w:szCs w:val="16"/>
          <w:b w:val="1"/>
          <w:bCs w:val="1"/>
          <w:color w:val="auto"/>
        </w:rPr>
        <w:t>Amount</w:t>
      </w:r>
      <w:r>
        <w:rPr>
          <w:rFonts w:ascii="Arial" w:cs="Arial" w:eastAsia="Arial" w:hAnsi="Arial"/>
          <w:sz w:val="16"/>
          <w:szCs w:val="16"/>
          <w:color w:val="auto"/>
        </w:rPr>
        <w:t>” means any amount that is less than the entire amount a Borrower is entitled to receive by way of contribution or subrogation from, but that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been paid by, the other Borrowers in respect of any Recovery Amount attributable to the Borrower entitled to contribution, until the Deficiency Amount has been reduced to Zero Dollars ($0) through contributions and reimbursements made under the terms of this Section 2.10(e) or otherwise.</w:t>
      </w:r>
    </w:p>
    <w:p>
      <w:pPr>
        <w:spacing w:after="0" w:line="172"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Termination; Restriction on Termination</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64" w:lineRule="auto"/>
        <w:tabs>
          <w:tab w:leader="none" w:pos="177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Termination by Lenders</w:t>
      </w:r>
      <w:r>
        <w:rPr>
          <w:rFonts w:ascii="Arial" w:cs="Arial" w:eastAsia="Arial" w:hAnsi="Arial"/>
          <w:sz w:val="18"/>
          <w:szCs w:val="18"/>
          <w:color w:val="auto"/>
        </w:rPr>
        <w:t>. Upon or after the occurrence and during the continuance of an Event of Default, in addition to the rights set forth in Section 10.2, upon written notice to Borrower and subject to any applicable cure periods, Agent may, and at the direction of Required Lenders shall, terminate this Agreement.</w:t>
      </w:r>
    </w:p>
    <w:p>
      <w:pPr>
        <w:spacing w:after="0" w:line="181" w:lineRule="exact"/>
        <w:rPr>
          <w:rFonts w:ascii="Arial" w:cs="Arial" w:eastAsia="Arial" w:hAnsi="Arial"/>
          <w:sz w:val="18"/>
          <w:szCs w:val="18"/>
          <w:color w:val="auto"/>
        </w:rPr>
      </w:pPr>
    </w:p>
    <w:p>
      <w:pPr>
        <w:jc w:val="both"/>
        <w:ind w:left="80" w:firstLine="1306"/>
        <w:spacing w:after="0" w:line="273" w:lineRule="auto"/>
        <w:tabs>
          <w:tab w:leader="none" w:pos="180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Termination by Borrowers</w:t>
      </w:r>
      <w:r>
        <w:rPr>
          <w:rFonts w:ascii="Arial" w:cs="Arial" w:eastAsia="Arial" w:hAnsi="Arial"/>
          <w:sz w:val="17"/>
          <w:szCs w:val="17"/>
          <w:color w:val="auto"/>
        </w:rPr>
        <w:t xml:space="preserve">. Upon at least fifteen (15) days’ prior written notice and pursuant to payoff documentation in form and substance satisfactory to Agent and Lenders, Borrowers may, at its option, terminate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termination shall be effective until Borrowers have complied with Section 2.2 and the terms of any Fee Letter. Any notice of termination given by Borrowers shall be irrevocable unless all Lenders otherwise agree in writing and no Lender shall have any obligation to make any Loans on or after the termination date stated in such notice; provided, however, that any such termination may be conditioned on the closing of a related refinancing. Borrowers may elect to terminate this Agreement in its entirety only. No section of this Agreement or type of Loan available hereunder may be terminated singly.</w:t>
      </w:r>
    </w:p>
    <w:p>
      <w:pPr>
        <w:spacing w:after="0" w:line="178" w:lineRule="exact"/>
        <w:rPr>
          <w:rFonts w:ascii="Arial" w:cs="Arial" w:eastAsia="Arial" w:hAnsi="Arial"/>
          <w:sz w:val="17"/>
          <w:szCs w:val="17"/>
          <w:color w:val="auto"/>
        </w:rPr>
      </w:pPr>
    </w:p>
    <w:p>
      <w:pPr>
        <w:jc w:val="both"/>
        <w:ind w:left="80" w:firstLine="1306"/>
        <w:spacing w:after="0" w:line="293" w:lineRule="auto"/>
        <w:tabs>
          <w:tab w:leader="none" w:pos="191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Effectiveness of Termination</w:t>
      </w:r>
      <w:r>
        <w:rPr>
          <w:rFonts w:ascii="Arial" w:cs="Arial" w:eastAsia="Arial" w:hAnsi="Arial"/>
          <w:sz w:val="16"/>
          <w:szCs w:val="16"/>
          <w:color w:val="auto"/>
        </w:rPr>
        <w:t>. All of the Obligations shall be immediately due and payable upon the Termination Date. All undertakings, agreements, covenants, warranties and representations of Borrowers contained in the Financing Documents shall survive any such termination and Agent shall retain their Liens in the Collateral and Agent and each Lender shall retain all of its rights and remedies under the Financing Documents notwithstanding such termination until all Obligations have been discharged or paid, in full, in immediately available funds, including, without limitation, all Obligations under Section 2.2 and the terms of any Fee Letter resulting from such termination. Notwithstanding the foregoing or the payment in full of the Obligations, Agent shall not be required to terminate its Liens in the Collateral unless, with respect to any loss or damage Agent may incur as 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25" w:right="2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result of dishonored checks or other items of payment received by Agent from Borrower or any Account Debtor and applied to the Obligations, Agent shall, at its option, (i) have received a written agreement satisfactory to Agent, executed by Borrowers and by any Person whose loans or other advances to Borrowers are used in whole or in part to satisfy the Obligations, indemnifying Agent and each Lender from any such loss or damage or (ii) have retained cash Collateral or other Collateral for such period of time as Agent, in its discretion, may deem necessary to protect Agent and each Lender from any such loss or damage.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 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induce Agent and Lenders to enter into this Agreement and to make the Loans and other credit accommodations contemplated hereby,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 hereby represents and warrants to Agent and each Lender that:</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Existence and Power</w:t>
      </w:r>
      <w:r>
        <w:rPr>
          <w:rFonts w:ascii="Arial" w:cs="Arial" w:eastAsia="Arial" w:hAnsi="Arial"/>
          <w:sz w:val="17"/>
          <w:szCs w:val="17"/>
          <w:color w:val="auto"/>
        </w:rPr>
        <w:t xml:space="preserve">. Each Credit Party (a) is an entity as specified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(b) is duly organized, validly existing and in good standing under the laws of the jurisdiction specified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and no other jurisdiction, (c) has the same legal name as it appears in such Credit Party’s Organizational Documents and an organizational identification number (if any), in each case as specified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(d) has all powers to own its assets and has all powers and Permits necessary in the operation of its business as presently conducted or as proposed to be conducted, except where the failure to have such Permits would not reasonably be expected to have a Material Adverse Effect, and (e) is qualified to do business as a foreign entity in each jurisdiction in which it is required to be so qualified, which jurisdictions as of the Closing Date are specified on </w:t>
      </w:r>
      <w:r>
        <w:rPr>
          <w:rFonts w:ascii="Arial" w:cs="Arial" w:eastAsia="Arial" w:hAnsi="Arial"/>
          <w:sz w:val="17"/>
          <w:szCs w:val="17"/>
          <w:u w:val="single" w:color="auto"/>
          <w:color w:val="auto"/>
        </w:rPr>
        <w:t>Schedule 3.1</w:t>
      </w:r>
      <w:r>
        <w:rPr>
          <w:rFonts w:ascii="Arial" w:cs="Arial" w:eastAsia="Arial" w:hAnsi="Arial"/>
          <w:sz w:val="17"/>
          <w:szCs w:val="17"/>
          <w:color w:val="auto"/>
        </w:rPr>
        <w:t xml:space="preserve">, except where the failure to be so qualified would not reasonably be expected to have a Material Adverse Effect. Except as set forth on </w:t>
      </w:r>
      <w:r>
        <w:rPr>
          <w:rFonts w:ascii="Arial" w:cs="Arial" w:eastAsia="Arial" w:hAnsi="Arial"/>
          <w:sz w:val="17"/>
          <w:szCs w:val="17"/>
          <w:u w:val="single" w:color="auto"/>
          <w:color w:val="auto"/>
        </w:rPr>
        <w:t>Schedule 3.1</w:t>
      </w:r>
      <w:r>
        <w:rPr>
          <w:rFonts w:ascii="Arial" w:cs="Arial" w:eastAsia="Arial" w:hAnsi="Arial"/>
          <w:sz w:val="17"/>
          <w:szCs w:val="17"/>
          <w:color w:val="auto"/>
        </w:rPr>
        <w:t>, no Credit Party (x) has had, over the five (5) year period preceding the Closing Date, any name other than its current name, or (y) was incorporated or organized under the laws of any jurisdiction other than its current jurisdiction of incorporation or organization.</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Organization and Governmental Authorization; No Contravention</w:t>
      </w:r>
      <w:r>
        <w:rPr>
          <w:rFonts w:ascii="Arial" w:cs="Arial" w:eastAsia="Arial" w:hAnsi="Arial"/>
          <w:sz w:val="16"/>
          <w:szCs w:val="16"/>
          <w:color w:val="auto"/>
        </w:rPr>
        <w:t>. The execution, delivery and performance by each Credit Party of the Operative Documents to which it is a party (a) are within its powers, (b) have been duly authorized by all necessary action pursuant to its Organizational Documents, (c) require no further action by or in respect of, or filing with, any Governmental Authority, except for any filings necessary to perfect the Liens created by the Operative Documents and (d) do not violate, conflict with or cause a breach or a default under (i) any Law applicable to any Credit Party in any material respect, (ii) any of the Organizational Documents of any Credit Party, or (iii) any agreement or instrument binding upon it, except for such violations, conflicts, breaches or defaults as would not, with respect to clause (iii), reasonably be expected to have a Material Adverse Effect.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Binding Effect</w:t>
      </w:r>
      <w:r>
        <w:rPr>
          <w:rFonts w:ascii="Arial" w:cs="Arial" w:eastAsia="Arial" w:hAnsi="Arial"/>
          <w:sz w:val="18"/>
          <w:szCs w:val="18"/>
          <w:color w:val="auto"/>
        </w:rPr>
        <w:t>. Each of the Operative Documents to which any Credit Party is a party constitutes a valid and binding agreement or instrument of such Credit Party, enforceable against such Credit Party in accordance with its respective terms, except as the enforceability thereof may be limited by bankruptcy, insolvency or other similar laws relating to the enforcement of creditors’ rights generally and by general equitable principles. Each Financing Document has been duly executed and delivered by each Credit Party party thereto.</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Capitalization</w:t>
      </w:r>
      <w:r>
        <w:rPr>
          <w:rFonts w:ascii="Arial" w:cs="Arial" w:eastAsia="Arial" w:hAnsi="Arial"/>
          <w:sz w:val="18"/>
          <w:szCs w:val="18"/>
          <w:color w:val="auto"/>
        </w:rPr>
        <w:t xml:space="preserve">. The authorized equity securities of each of the Credit Parties as of the Closing Date are as set forth on </w:t>
      </w:r>
      <w:r>
        <w:rPr>
          <w:rFonts w:ascii="Arial" w:cs="Arial" w:eastAsia="Arial" w:hAnsi="Arial"/>
          <w:sz w:val="18"/>
          <w:szCs w:val="18"/>
          <w:u w:val="single" w:color="auto"/>
          <w:color w:val="auto"/>
        </w:rPr>
        <w:t>Schedule 3.4</w:t>
      </w:r>
      <w:r>
        <w:rPr>
          <w:rFonts w:ascii="Arial" w:cs="Arial" w:eastAsia="Arial" w:hAnsi="Arial"/>
          <w:sz w:val="18"/>
          <w:szCs w:val="18"/>
          <w:color w:val="auto"/>
        </w:rPr>
        <w:t>. All issued and outstanding equity securities of each of the Credit Parties are duly authorized and validly issued, fully paid, nonassessable, free and clear of all Liens other than Permitted Liens and those in favor of Agent for the benefit of Agent and Lenders, and such equity securities were issued in compliance with all applicable Laws.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25" w:right="239" w:bottom="1440" w:gutter="0" w:footer="0" w:header="0"/>
        </w:sectPr>
      </w:pPr>
    </w:p>
    <w:bookmarkStart w:id="48" w:name="page49"/>
    <w:bookmarkEnd w:id="48"/>
    <w:p>
      <w:pPr>
        <w:jc w:val="both"/>
        <w:ind w:firstLine="648"/>
        <w:spacing w:after="0" w:line="259"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All information delivered to Agent and pertaining to the financial condition of any Credit Party fairly presents the financial position of such Credit Party as of such date in conformity with GAAP (and as to unaudited financial statements, subject to normal year-end adjustments and the absence of footnote disclosures). Since December 31, 2016, there has been no event which would be reasonably likely to result in a Material Adverse Effect on any Credit Party.</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4.9</w:t>
      </w:r>
      <w:r>
        <w:rPr>
          <w:rFonts w:ascii="Arial" w:cs="Arial" w:eastAsia="Arial" w:hAnsi="Arial"/>
          <w:sz w:val="16"/>
          <w:szCs w:val="16"/>
          <w:color w:val="auto"/>
        </w:rPr>
        <w:t xml:space="preserve"> on the Closing Date, there is no Litigation pending in which an adverse decision would be reasonably likely to have a Material Adverse Effect or which in any manner draws into question the validity of any of the Operative Documents.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Ownership of Property</w:t>
      </w:r>
      <w:r>
        <w:rPr>
          <w:rFonts w:ascii="Arial" w:cs="Arial" w:eastAsia="Arial" w:hAnsi="Arial"/>
          <w:sz w:val="18"/>
          <w:szCs w:val="18"/>
          <w:color w:val="auto"/>
        </w:rPr>
        <w:t>. Each Borrower and its Subsidiaries are the lawful sole owner of, has good and marketable title to and is in lawful possession of, or has valid leasehold interests in, all properties, accounts and other assets (real or personal, tangible, intangible or mixed) purported or reported to be owned or leased (as the case may be) by such Person.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 Default</w:t>
      </w:r>
      <w:r>
        <w:rPr>
          <w:rFonts w:ascii="Arial" w:cs="Arial" w:eastAsia="Arial" w:hAnsi="Arial"/>
          <w:sz w:val="18"/>
          <w:szCs w:val="18"/>
          <w:color w:val="auto"/>
        </w:rPr>
        <w:t>. No Event of Default, or to such Borrower’s knowledge, Default, has occurred and is continuing. No Credit Party nor any Subsidiary is in breach or default under or with respect to any contract, agreement, lease or other instrument to which it is a party or by which its property is bound or affected, which breach or default would reasonably be expected to have a Material Adverse Effect.</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Labor Matters</w:t>
      </w:r>
      <w:r>
        <w:rPr>
          <w:rFonts w:ascii="Arial" w:cs="Arial" w:eastAsia="Arial" w:hAnsi="Arial"/>
          <w:sz w:val="16"/>
          <w:szCs w:val="16"/>
          <w:color w:val="auto"/>
        </w:rPr>
        <w:t>. As of the Closing Date, there are no strikes or other labor disputes pending or, to any Borrower’s knowledge, threatened in writing against any Credit Party. Hours worked and payments made to the employees of the Credit Parties have not been in violation of the Fair Labor Standards Act or any other applicable Law dealing with such matters. All payments due from the Credit Parties, or for which any claim may be made against any of them, on account of wages and employee and retiree health and welfare insurance and other benefits have been paid or accrued as a liability on their books, as the case may be. The consummation of the transactions contemplated by the Financing Documents will not give rise to a right of termination or right of renegotiation on the part of any union under any collective bargaining agreement to which it is a party or by which it is bound.</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Regulated Entities</w:t>
      </w:r>
      <w:r>
        <w:rPr>
          <w:rFonts w:ascii="Arial" w:cs="Arial" w:eastAsia="Arial" w:hAnsi="Arial"/>
          <w:sz w:val="18"/>
          <w:szCs w:val="18"/>
          <w:color w:val="auto"/>
        </w:rPr>
        <w:t>. No Credit Party is an “investment company” or a company “controlled” by an “investment company” or a “subsidiary” of an “investment company,” all within the meaning of the Investment Company Act of 1940.</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None of the proceeds from the Loans have been or will be used, directly or indirectly, for the purpose of purchasing or carrying any “margin stock” (as defined in Regulation U of the Federal Reserve Board), for the purpose of reducing or retiring any indebtedness which was originally incurred to purchase or carry any “margin stock” or for any other purpose which might cause any of the Loans to be considered a “purpose credit” within the meaning of Regulation T, U or X of the Federal Reserve Board.</w:t>
      </w:r>
    </w:p>
    <w:p>
      <w:pPr>
        <w:spacing w:after="0" w:line="1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Compliance With Laws; Anti-Terrorism Laws</w:t>
      </w:r>
      <w:r>
        <w:rPr>
          <w:rFonts w:ascii="Arial" w:cs="Arial" w:eastAsia="Arial" w:hAnsi="Arial"/>
          <w:sz w:val="16"/>
          <w:szCs w:val="16"/>
          <w:color w:val="auto"/>
        </w:rPr>
        <w:t>.</w:t>
      </w:r>
    </w:p>
    <w:p>
      <w:pPr>
        <w:spacing w:after="0" w:line="225" w:lineRule="exact"/>
        <w:rPr>
          <w:sz w:val="20"/>
          <w:szCs w:val="20"/>
          <w:color w:val="auto"/>
        </w:rPr>
      </w:pPr>
    </w:p>
    <w:p>
      <w:pPr>
        <w:ind w:left="80" w:right="20" w:firstLine="1306"/>
        <w:spacing w:after="0" w:line="277" w:lineRule="auto"/>
        <w:tabs>
          <w:tab w:leader="none" w:pos="1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Credit Party and each Subsidiary is in compliance with the requirements of all applicable Laws, except for such Laws the noncompliance with which would not reasonably be expected to have a Material Adverse Effect.</w:t>
      </w:r>
    </w:p>
    <w:p>
      <w:pPr>
        <w:spacing w:after="0" w:line="170" w:lineRule="exact"/>
        <w:rPr>
          <w:rFonts w:ascii="Arial" w:cs="Arial" w:eastAsia="Arial" w:hAnsi="Arial"/>
          <w:sz w:val="18"/>
          <w:szCs w:val="18"/>
          <w:color w:val="auto"/>
        </w:rPr>
      </w:pPr>
    </w:p>
    <w:p>
      <w:pPr>
        <w:ind w:left="80" w:firstLine="1306"/>
        <w:spacing w:after="0" w:line="342" w:lineRule="auto"/>
        <w:tabs>
          <w:tab w:leader="none" w:pos="177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None of the Credit Parties and, to the knowledge of the Credit Parties, none of their Affiliates (i) is in violation of any Anti-Terrorism Law, (ii) engages in or conspires to engage in any transaction that evades or avoids, or has the purpose of evading or avoiding, or attempts to violate, any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20"/>
          </w:cols>
          <w:pgMar w:left="240" w:top="1057" w:right="239" w:bottom="1440" w:gutter="0" w:footer="0" w:header="0"/>
        </w:sectPr>
      </w:pPr>
    </w:p>
    <w:bookmarkStart w:id="49" w:name="page50"/>
    <w:bookmarkEnd w:id="49"/>
    <w:p>
      <w:pPr>
        <w:jc w:val="both"/>
        <w:spacing w:after="0" w:line="255" w:lineRule="auto"/>
        <w:rPr>
          <w:sz w:val="20"/>
          <w:szCs w:val="20"/>
          <w:color w:val="auto"/>
        </w:rPr>
      </w:pPr>
      <w:r>
        <w:rPr>
          <w:rFonts w:ascii="Arial" w:cs="Arial" w:eastAsia="Arial" w:hAnsi="Arial"/>
          <w:sz w:val="18"/>
          <w:szCs w:val="18"/>
          <w:color w:val="auto"/>
        </w:rPr>
        <w:t>of the prohibitions set forth in any Anti-Terrorism Law, (iii) is a Blocked Person, or is controlled by a Blocked Person, (iv) is acting or will act for or on behalf of a Blocked Person, (v) is associated with, or will become associated with, a Blocked Person or (vi) is providing, or will provide, material, financial or technical support or other services to or in support of acts of terrorism of a Blocked Person. No Credit Party nor, to the knowledge of any Credit Party, any of its Affiliates or agents acting or benefiting in any capacity in connection with the transactions contemplated by this Agreement, (A) conducts any business or engages in making or receiving any contribution of funds, goods or services to or for the benefit of any Blocked Person, or (B) deals in, or otherwise engages in any transaction relating to, any property or interest in property blocked pursuant to Executive Order No. 13224, any similar executive order or other Anti-Terrorism Law.</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3.13 </w:t>
      </w:r>
      <w:r>
        <w:rPr>
          <w:rFonts w:ascii="Arial" w:cs="Arial" w:eastAsia="Arial" w:hAnsi="Arial"/>
          <w:sz w:val="17"/>
          <w:szCs w:val="17"/>
          <w:u w:val="single" w:color="auto"/>
          <w:color w:val="auto"/>
        </w:rPr>
        <w:t>Taxes</w:t>
      </w:r>
      <w:r>
        <w:rPr>
          <w:rFonts w:ascii="Arial" w:cs="Arial" w:eastAsia="Arial" w:hAnsi="Arial"/>
          <w:sz w:val="17"/>
          <w:szCs w:val="17"/>
          <w:color w:val="auto"/>
        </w:rPr>
        <w:t>. All federal, state and local tax returns, reports and statements required to be filed by or on behalf of each Credit Party have been filed with the appropriate Governmental Authorities in all jurisdictions in which such returns, reports and statements are required to be filed and, except to the extent subject to a Permitted Contest, all Taxes (including real property Taxes) and other charges shown to be due and payable in respect thereof have been timely paid prior to the date on which any fine, penalty, interest, late charge or loss may be added thereto for nonpayment thereof. Except to the extent subject to a Permitted Contest, all material state and local sales and use Taxes required to be paid by each Credit Party have been paid. All federal and state returns have been filed by each Credit Party for all periods for which returns were due with respect to employee income tax withholding, social security and unemployment taxes, and, except to the extent subject to a Permitted Contest, the amounts shown thereon to be due and payable have been paid in full or adequate provisions therefor have been made.</w:t>
      </w:r>
    </w:p>
    <w:p>
      <w:pPr>
        <w:spacing w:after="0" w:line="17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97" w:lineRule="auto"/>
        <w:tabs>
          <w:tab w:leader="none" w:pos="1776"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each ERISA Plan (and the related trusts and funding agreements) complies in form and in operation with, has been administered in compliance with, and the terms of each ERISA Plan satisfy, the applicable requirements of ERISA and the Code in all material respects. Each ERISA Plan which is intended to be qualified under Section 401(a) of the Code is so qualified, and the United States Internal Revenue Service has issued a favorable determination letter with respect to each such ERISA Plan which may be relied on currently. No Credit Party has incurred liability for any material excise tax under any of Sections 4971 through 5000 of the Code.</w:t>
      </w:r>
    </w:p>
    <w:p>
      <w:pPr>
        <w:spacing w:after="0" w:line="158" w:lineRule="exact"/>
        <w:rPr>
          <w:rFonts w:ascii="Arial" w:cs="Arial" w:eastAsia="Arial" w:hAnsi="Arial"/>
          <w:sz w:val="16"/>
          <w:szCs w:val="16"/>
          <w:color w:val="auto"/>
        </w:rPr>
      </w:pPr>
    </w:p>
    <w:p>
      <w:pPr>
        <w:jc w:val="both"/>
        <w:ind w:left="80" w:firstLine="1306"/>
        <w:spacing w:after="0" w:line="269" w:lineRule="auto"/>
        <w:tabs>
          <w:tab w:leader="none" w:pos="1787"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Except as would not reasonably be expected, individually or in the aggregate, to have a Material Adverse Effect, each Borrower and each Subsidiary is in compliance with the applicable provisions of ERISA and the provision of the Code relating to ERISA Plans and the regulations and published interpretations therein. During the thirty-six (36) month period prior to the Closing Date or the making of any Loan (i) no steps have been taken to terminate any Pension Plan, and (ii) no contribution failure has occurred with respect to any Pension Plan sufficient to give rise to a Lien under Section 303(k) of ERISA or Section 430(k) of the Code and no event has occurred that would give rise to a Lien under Section 4068 of ERISA. No condition exists or event or transaction has occurred with respect to any Pension Plan which could result in the incurrence by any Credit Party of any material liability, fine or penalty. No Credit Party has incurred liability to the PBGC (other than for current premiums) with respect to any employee Pension Plan. Except as would not reasonably be expected to have a Material Adverse Effect, all contributions (if any) have been made on a timely basis to any Multiemployer Plan that are required to be made by any Credit Party or any other member of the Controlled Group under the terms of the plan or of any collective bargaining agreement or by applicable Law; no Credit Party nor any member of the Controlled Group has withdrawn or partially withdrawn from any Multiemployer Plan, incurred any withdrawal liability with respect to any such plan or received notice of any claim or demand for withdrawal liability or partial withdrawal liability from 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625" w:right="239" w:bottom="1440" w:gutter="0" w:footer="0" w:header="0"/>
        </w:sectPr>
      </w:pPr>
    </w:p>
    <w:bookmarkStart w:id="50" w:name="page51"/>
    <w:bookmarkEnd w:id="50"/>
    <w:p>
      <w:pPr>
        <w:jc w:val="both"/>
        <w:spacing w:after="0" w:line="279" w:lineRule="auto"/>
        <w:rPr>
          <w:sz w:val="20"/>
          <w:szCs w:val="20"/>
          <w:color w:val="auto"/>
        </w:rPr>
      </w:pPr>
      <w:r>
        <w:rPr>
          <w:rFonts w:ascii="Arial" w:cs="Arial" w:eastAsia="Arial" w:hAnsi="Arial"/>
          <w:sz w:val="17"/>
          <w:szCs w:val="17"/>
          <w:color w:val="auto"/>
        </w:rPr>
        <w:t>such plan, and no condition has occurred which, if continued, could result in a withdrawal or partial withdrawal from any such plan, and no Credit Party nor any member of the Controlled Group has received any notice that any Multiemployer Plan is in reorganization, that increased contributions may be required to avoid a reduction in plan benefits or the imposition of any excise tax, that any such plan is or has been funded at a rate less than that required under Section 412 of the Code, that any such plan is or may be terminated, or that any such plan is or may become insolvent.</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Consummation of Operative Documents; Brokers</w:t>
      </w:r>
      <w:r>
        <w:rPr>
          <w:rFonts w:ascii="Arial" w:cs="Arial" w:eastAsia="Arial" w:hAnsi="Arial"/>
          <w:sz w:val="16"/>
          <w:szCs w:val="16"/>
          <w:color w:val="auto"/>
        </w:rPr>
        <w:t>. Except for fees payable to Agent and/or Lenders, no broker, finder or other intermediary has brought about the obtaining, making or closing of the transactions contemplated by the Operative Documents, and no Credit Party has or will have any obligation to any Person in respect of any finder’s or brokerage fees, commissions or other expenses in connection herewith or therewith.</w:t>
      </w:r>
    </w:p>
    <w:p>
      <w:pPr>
        <w:spacing w:after="0" w:line="1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Related Transactions</w:t>
      </w:r>
      <w:r>
        <w:rPr>
          <w:rFonts w:ascii="Arial" w:cs="Arial" w:eastAsia="Arial" w:hAnsi="Arial"/>
          <w:sz w:val="16"/>
          <w:szCs w:val="16"/>
          <w:color w:val="auto"/>
        </w:rPr>
        <w:t>. All transactions contemplated by the Operative Documents to be consummated on or prior to the date hereof have been so consummated (including, without limitation, the disbursement and transfer of all funds in connection therewith) in all material respects pursuant to the provisions of the applicable Operative Documents, true and complete copies of which have been delivered to Agent, and in compliance with all applicable Law, except for such Laws the noncompliance with which would not reasonably be expected to have a Material Adverse Effect.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Except for the Operative Documents and the other agreements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as of the Closing Date there are no Material Contracts. The consummation of the transactions contemplated by the Financing Documents will not give rise to a right of termination in favor of any party to any Material Contract (other than any Credit Party), except for such Material Contracts the noncompliance with which would not reasonably be expected to have a Material Adverse Effect.</w:t>
      </w:r>
    </w:p>
    <w:p>
      <w:pPr>
        <w:spacing w:after="0" w:line="187"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Compliance with Environmental Requirements; No Hazardous Materials</w:t>
      </w:r>
      <w:r>
        <w:rPr>
          <w:rFonts w:ascii="Arial" w:cs="Arial" w:eastAsia="Arial" w:hAnsi="Arial"/>
          <w:sz w:val="16"/>
          <w:szCs w:val="16"/>
          <w:color w:val="auto"/>
        </w:rPr>
        <w:t>. Except in each case as set forth on</w:t>
      </w:r>
      <w:r>
        <w:rPr>
          <w:rFonts w:ascii="Arial" w:cs="Arial" w:eastAsia="Arial" w:hAnsi="Arial"/>
          <w:sz w:val="16"/>
          <w:szCs w:val="16"/>
          <w:u w:val="single" w:color="auto"/>
          <w:color w:val="auto"/>
        </w:rPr>
        <w:t xml:space="preserve"> Schedule 3.18</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5" w:lineRule="auto"/>
        <w:tabs>
          <w:tab w:leader="none" w:pos="18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notice, notification, demand, request for information, citation, summons, complaint or order has been issued, no complaint has been filed, no penalty has been assessed and no investigation or review is pending, or to such Borrower’s knowledge, threatened in writing by any Governmental Authority or other Person with respect to any (i) alleged violation by any Credit Party of any Environmental Law, (ii) alleged failure by any Credit Party to have any Permits required under any Environmental Law in connection with the conduct of its business or to comply with the terms and conditions thereof, (iii) any generation, treatment, storage, recycling, transportation or disposal of any Hazardous Materials, or (iv) release of Hazardous Materials; and</w:t>
      </w:r>
    </w:p>
    <w:p>
      <w:pPr>
        <w:spacing w:after="0" w:line="193" w:lineRule="exact"/>
        <w:rPr>
          <w:rFonts w:ascii="Arial" w:cs="Arial" w:eastAsia="Arial" w:hAnsi="Arial"/>
          <w:sz w:val="18"/>
          <w:szCs w:val="18"/>
          <w:color w:val="auto"/>
        </w:rPr>
      </w:pPr>
    </w:p>
    <w:p>
      <w:pPr>
        <w:jc w:val="both"/>
        <w:ind w:left="80" w:firstLine="1306"/>
        <w:spacing w:after="0" w:line="293" w:lineRule="auto"/>
        <w:tabs>
          <w:tab w:leader="none" w:pos="1771"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property now owned or leased by any Credit Party and, to the knowledge of each Borrower, no such property previously owned or leased by any Credit Party, to which any Credit Party has, directly or indirectly, transported or arranged for the transportation of any Hazardous Materials, is listed or, to such Borrower’s knowledge, proposed for listing, on the National Priorities List promulgated pursuant to CERCLA, or CERCLIS (as defined in CERCLA) or any similar state list or is the subject of federal, state or local enforcement actions or, to the knowledge of such Borrower, other investigations which may lead to claims against any Credit Party for clean-up costs, remedial work, damage to natural resources or personal injury claims, including, without limitation, claims under CERCLA, except as would not reasonably be expected, individually or in the aggregate, to have a Material Adverse Effect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25" w:right="239" w:bottom="1440" w:gutter="0" w:footer="0" w:header="0"/>
        </w:sectPr>
      </w:pPr>
    </w:p>
    <w:bookmarkStart w:id="51" w:name="page52"/>
    <w:bookmarkEnd w:id="51"/>
    <w:p>
      <w:pPr>
        <w:ind w:left="13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purposes of this Section 3.18, each Credit Party shall be deemed to include any business or business entity (including a corporation) that is, in whole or in part, a predecessor of such Credit Party.</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3.19 </w:t>
      </w:r>
      <w:r>
        <w:rPr>
          <w:rFonts w:ascii="Arial" w:cs="Arial" w:eastAsia="Arial" w:hAnsi="Arial"/>
          <w:sz w:val="17"/>
          <w:szCs w:val="17"/>
          <w:u w:val="single" w:color="auto"/>
          <w:color w:val="auto"/>
        </w:rPr>
        <w:t>Intellectual Property and License Agreements</w:t>
      </w:r>
      <w:r>
        <w:rPr>
          <w:rFonts w:ascii="Arial" w:cs="Arial" w:eastAsia="Arial" w:hAnsi="Arial"/>
          <w:sz w:val="17"/>
          <w:szCs w:val="17"/>
          <w:color w:val="auto"/>
        </w:rPr>
        <w:t>. A list of all Registered Intellectual Property of each Credit Party and all in-bound license or sublicense agreements, exclusive out-bound license or sublicense agreements, or other rights of any Credit Party to use Intellectual Property (but excluding in-bound licenses of over-the-counter software that is commercially available to the public), as of the Closing Date and, as updated pursuant to Section 4.15, is set forth on Schedule 3.19. Schedule 3.19 shall be prepared by Borrower in the form provided by Agent and contain all information required in such form. Except for Permitted Licenses, each Credit Party and each Subsidiary thereof is the sole owner of its Intellectual Property free and clear of any Liens other than Permitted Liens. Each patent is valid and enforceable and no part of the Material Intangible Assets has been judged invalid or unenforceable, in whole or in part. To the best of Borrower’s knowledge, no claim has been made that any part of the Intellectual Property violates the rights of any third party, except as would not reasonably be expected to have a Material Adverse Effect.</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Solvency</w:t>
      </w:r>
      <w:r>
        <w:rPr>
          <w:rFonts w:ascii="Arial" w:cs="Arial" w:eastAsia="Arial" w:hAnsi="Arial"/>
          <w:sz w:val="18"/>
          <w:szCs w:val="18"/>
          <w:color w:val="auto"/>
        </w:rPr>
        <w:t>. After giving effect to the Loan advance and the liabilities and obligations of each Borrower under the Operative Documents, each Borrower and each additional Credit Party is Solvent.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Full Disclosure</w:t>
      </w:r>
      <w:r>
        <w:rPr>
          <w:rFonts w:ascii="Arial" w:cs="Arial" w:eastAsia="Arial" w:hAnsi="Arial"/>
          <w:sz w:val="18"/>
          <w:szCs w:val="18"/>
          <w:color w:val="auto"/>
        </w:rPr>
        <w:t xml:space="preserve">. Taken as a whole, none of the material written information (financial or otherwise but excluding projections) furnished by or on behalf of any Credit Party to Agent or any Lender in connection with the consummation of the transactions contemplated by the Operative Documents, contains any untrue statement of a material fact or omits to state a material fact necessary to make the statements contained herein or therein not misleading in light of the circumstances under which such statements were made. All financial projections delivered to Agent and the Lenders by Borrowers (or their agents) have been prepared on the basis of the assumptions stated therein. Such projections represent each Borrower’s good faith estimate of such Borrower’s future financial performance and such assumptions are believed by such Borrower to be fair and reasonable in light of current business conditions;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Borrowers can give no assurance that such projections will be attained and Lenders acknowledge that actual results may materially differ from projected results.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Interest Rate</w:t>
      </w:r>
      <w:r>
        <w:rPr>
          <w:rFonts w:ascii="Arial" w:cs="Arial" w:eastAsia="Arial" w:hAnsi="Arial"/>
          <w:sz w:val="18"/>
          <w:szCs w:val="18"/>
          <w:color w:val="auto"/>
        </w:rPr>
        <w:t>. The rate of interest paid under the Notes and the method and manner of the calculation thereof do not violate any usury or other law or applicable Laws, any of the Organizational Documents, or any of the Operative Documents.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sets forth, as of the Closing Date, a list of all Subsidiaries and the percentage ownership of interest of the Credit Parties therein. Borrowers do not own any stock, partnership interests, limited liability company interests or other equity securities or Subsidiaries except for Permitted Investments.</w:t>
      </w:r>
    </w:p>
    <w:p>
      <w:pPr>
        <w:spacing w:after="0" w:line="18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3.24</w:t>
      </w:r>
      <w:r>
        <w:rPr>
          <w:sz w:val="20"/>
          <w:szCs w:val="20"/>
          <w:color w:val="auto"/>
        </w:rPr>
        <w:tab/>
      </w:r>
      <w:r>
        <w:rPr>
          <w:rFonts w:ascii="Arial" w:cs="Arial" w:eastAsia="Arial" w:hAnsi="Arial"/>
          <w:sz w:val="16"/>
          <w:szCs w:val="16"/>
          <w:u w:val="single" w:color="auto"/>
          <w:color w:val="auto"/>
        </w:rPr>
        <w:t>Regulatory Matters</w:t>
      </w:r>
      <w:r>
        <w:rPr>
          <w:rFonts w:ascii="Arial" w:cs="Arial" w:eastAsia="Arial" w:hAnsi="Arial"/>
          <w:sz w:val="16"/>
          <w:szCs w:val="16"/>
          <w:color w:val="auto"/>
        </w:rPr>
        <w:t>.</w:t>
      </w:r>
    </w:p>
    <w:p>
      <w:pPr>
        <w:spacing w:after="0" w:line="225" w:lineRule="exact"/>
        <w:rPr>
          <w:sz w:val="20"/>
          <w:szCs w:val="20"/>
          <w:color w:val="auto"/>
        </w:rPr>
      </w:pPr>
    </w:p>
    <w:p>
      <w:pPr>
        <w:ind w:left="1380"/>
        <w:spacing w:after="0"/>
        <w:tabs>
          <w:tab w:leader="none" w:pos="1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All of Borrower’s and its Subsidiaries’ material Products and material Regulatory Required Permits are listed on </w:t>
      </w:r>
      <w:r>
        <w:rPr>
          <w:rFonts w:ascii="Arial" w:cs="Arial" w:eastAsia="Arial" w:hAnsi="Arial"/>
          <w:sz w:val="16"/>
          <w:szCs w:val="16"/>
          <w:u w:val="single" w:color="auto"/>
          <w:color w:val="auto"/>
        </w:rPr>
        <w:t>Schedule 4.17</w:t>
      </w:r>
      <w:r>
        <w:rPr>
          <w:rFonts w:ascii="Arial" w:cs="Arial" w:eastAsia="Arial" w:hAnsi="Arial"/>
          <w:sz w:val="16"/>
          <w:szCs w:val="16"/>
          <w:color w:val="auto"/>
        </w:rPr>
        <w:t xml:space="preserve"> on the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Closing Date.</w:t>
      </w:r>
    </w:p>
    <w:p>
      <w:pPr>
        <w:spacing w:after="0" w:line="211" w:lineRule="exact"/>
        <w:rPr>
          <w:sz w:val="20"/>
          <w:szCs w:val="20"/>
          <w:color w:val="auto"/>
        </w:rPr>
      </w:pPr>
    </w:p>
    <w:p>
      <w:pPr>
        <w:ind w:left="80" w:firstLine="1306"/>
        <w:spacing w:after="0" w:line="277" w:lineRule="auto"/>
        <w:tabs>
          <w:tab w:leader="none" w:pos="17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None of the Borrowers or any Subsidiary thereof are in violation of any Healthcare Laws, except where any such violation would not have a Material Adverse Effect.</w:t>
      </w:r>
    </w:p>
    <w:p>
      <w:pPr>
        <w:spacing w:after="0" w:line="170" w:lineRule="exact"/>
        <w:rPr>
          <w:rFonts w:ascii="Arial" w:cs="Arial" w:eastAsia="Arial" w:hAnsi="Arial"/>
          <w:sz w:val="18"/>
          <w:szCs w:val="18"/>
          <w:color w:val="auto"/>
        </w:rPr>
      </w:pPr>
    </w:p>
    <w:p>
      <w:pPr>
        <w:ind w:left="1820" w:hanging="434"/>
        <w:spacing w:after="0"/>
        <w:tabs>
          <w:tab w:leader="none" w:pos="18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Borrower or any Subsidiary thereof receives any payments from any U.S. Governmental Account Debtor.</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25" w:right="239" w:bottom="1440" w:gutter="0" w:footer="0" w:header="0"/>
        </w:sectPr>
      </w:pPr>
    </w:p>
    <w:bookmarkStart w:id="52" w:name="page53"/>
    <w:bookmarkEnd w:id="52"/>
    <w:p>
      <w:pPr>
        <w:jc w:val="both"/>
        <w:ind w:firstLine="1306"/>
        <w:spacing w:after="0" w:line="279" w:lineRule="auto"/>
        <w:tabs>
          <w:tab w:leader="none" w:pos="1711"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None of the Borrower’s or its Subsidiaries’ officers, directors, employees, shareholders, their agents or affiliates has made an untrue statement of material fact or fraudulent statement to the FDA or failed to disclose a material fact required to be disclosed to the FDA, committed an act, made a statement, or failed to make a statement that would reasonably be expected to provide a basis for the FDA to invoke its policy respecting “Fraud, Untrue Statements of Material Facts, Bribery, and Illegal Gratuities,” set forth in 56 Fed. Regulation 46191 (September 10, 1991).</w:t>
      </w:r>
    </w:p>
    <w:p>
      <w:pPr>
        <w:spacing w:after="0" w:line="171" w:lineRule="exact"/>
        <w:rPr>
          <w:rFonts w:ascii="Arial" w:cs="Arial" w:eastAsia="Arial" w:hAnsi="Arial"/>
          <w:sz w:val="17"/>
          <w:szCs w:val="17"/>
          <w:color w:val="auto"/>
        </w:rPr>
      </w:pPr>
    </w:p>
    <w:p>
      <w:pPr>
        <w:jc w:val="both"/>
        <w:ind w:firstLine="1306"/>
        <w:spacing w:after="0" w:line="257" w:lineRule="auto"/>
        <w:tabs>
          <w:tab w:leader="none" w:pos="16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3.24</w:t>
      </w:r>
      <w:r>
        <w:rPr>
          <w:rFonts w:ascii="Arial" w:cs="Arial" w:eastAsia="Arial" w:hAnsi="Arial"/>
          <w:sz w:val="18"/>
          <w:szCs w:val="18"/>
          <w:color w:val="auto"/>
        </w:rPr>
        <w:t xml:space="preserve"> on the Closing Date, no Borrower nor any Subsidiary thereof has received any written notice that any Governmental Authority, including without limitation the FDA, DEA, the Office of the Inspector General of HHS or the United States Department of Justice has commenced or threatened to initiate any action against a Credit Party, any action to enjoin a Credit Party or a Subsidiary, or their officers, directors, employees, shareholders or their agents and Affiliates, from conducting their businesses at any facility owned or used by them or for any material civil penalty, injunction, seizure or criminal action.</w:t>
      </w:r>
    </w:p>
    <w:p>
      <w:pPr>
        <w:spacing w:after="0" w:line="188" w:lineRule="exact"/>
        <w:rPr>
          <w:rFonts w:ascii="Arial" w:cs="Arial" w:eastAsia="Arial" w:hAnsi="Arial"/>
          <w:sz w:val="18"/>
          <w:szCs w:val="18"/>
          <w:color w:val="auto"/>
        </w:rPr>
      </w:pPr>
    </w:p>
    <w:p>
      <w:pPr>
        <w:jc w:val="both"/>
        <w:ind w:firstLine="1306"/>
        <w:spacing w:after="0" w:line="257" w:lineRule="auto"/>
        <w:tabs>
          <w:tab w:leader="none" w:pos="16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Borrower nor any Subsidiary has received from the FDA or the DEA, a Warning Letter, Form FDA-483, “Untitled Letter,” other correspondence or notice setting forth allegedly objectionable observations or alleged violations of laws and regulations enforced by the FDA or the DEA, or any comparable correspondence from any state or local authority responsible for regulating drug products and establishments, or any comparable correspondence from any foreign counterpart of the FDA or DEA, or any comparable correspondence from any foreign counterpart of any state or local authority with regard to any Product or the manufacture, processing, packing, or holding thereof.</w:t>
      </w:r>
    </w:p>
    <w:p>
      <w:pPr>
        <w:spacing w:after="0" w:line="188" w:lineRule="exact"/>
        <w:rPr>
          <w:rFonts w:ascii="Arial" w:cs="Arial" w:eastAsia="Arial" w:hAnsi="Arial"/>
          <w:sz w:val="18"/>
          <w:szCs w:val="18"/>
          <w:color w:val="auto"/>
        </w:rPr>
      </w:pPr>
    </w:p>
    <w:p>
      <w:pPr>
        <w:jc w:val="both"/>
        <w:ind w:firstLine="1306"/>
        <w:spacing w:after="0" w:line="264" w:lineRule="auto"/>
        <w:tabs>
          <w:tab w:leader="none" w:pos="16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Borrower nor any Subsidiary thereof is subject to any proceeding, suit or, to Borrower’s knowledge, investigation by any federal, state or local government or quasi-governmental body, agency, board or authority or any other administrative or investigative body which could result in the revocation, transfer, surrender, suspension or other impairment of the Permits of such Borrower or Subsidiary.</w:t>
      </w:r>
    </w:p>
    <w:p>
      <w:pPr>
        <w:spacing w:after="0" w:line="181" w:lineRule="exact"/>
        <w:rPr>
          <w:rFonts w:ascii="Arial" w:cs="Arial" w:eastAsia="Arial" w:hAnsi="Arial"/>
          <w:sz w:val="18"/>
          <w:szCs w:val="18"/>
          <w:color w:val="auto"/>
        </w:rPr>
      </w:pPr>
    </w:p>
    <w:p>
      <w:pPr>
        <w:ind w:firstLine="1306"/>
        <w:spacing w:after="0" w:line="277" w:lineRule="auto"/>
        <w:tabs>
          <w:tab w:leader="none" w:pos="1709"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Borrower has not, nor has any Subsidiary, engaged in any Recalls, Market Withdrawals, or other forms of product retrieval from the marketplace of any Products.</w:t>
      </w:r>
    </w:p>
    <w:p>
      <w:pPr>
        <w:spacing w:after="0" w:line="170" w:lineRule="exact"/>
        <w:rPr>
          <w:rFonts w:ascii="Arial" w:cs="Arial" w:eastAsia="Arial" w:hAnsi="Arial"/>
          <w:sz w:val="18"/>
          <w:szCs w:val="18"/>
          <w:color w:val="auto"/>
        </w:rPr>
      </w:pPr>
    </w:p>
    <w:p>
      <w:pPr>
        <w:jc w:val="both"/>
        <w:ind w:firstLine="1306"/>
        <w:spacing w:after="0" w:line="276" w:lineRule="auto"/>
        <w:tabs>
          <w:tab w:leader="none" w:pos="1666"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Product (a) is not adulterated or misbranded within the meaning of the FDCA; (b) is not an article prohibited from introduction into interstate commerce under the provisions of Sections 404, 505 or 512 of the FDCA; (c) each Product has been and/or shall be manufactured, imported, possessed, owned, warehoused, marketed, promoted, sold, labeled, furnished, distributed and marketed and each service has been conducted in accordance with all applicable Permits and Laws; and (d) each Product has been and/or shall be manufactured in accordance with Good Manufacturing Practices, except in each case as would not reasonably be expected to result in a Material Adverse Effect.</w:t>
      </w:r>
    </w:p>
    <w:p>
      <w:pPr>
        <w:spacing w:after="0" w:line="172" w:lineRule="exact"/>
        <w:rPr>
          <w:rFonts w:ascii="Arial" w:cs="Arial" w:eastAsia="Arial" w:hAnsi="Arial"/>
          <w:sz w:val="17"/>
          <w:szCs w:val="17"/>
          <w:color w:val="auto"/>
        </w:rPr>
      </w:pPr>
    </w:p>
    <w:p>
      <w:pPr>
        <w:jc w:val="both"/>
        <w:ind w:firstLine="1306"/>
        <w:spacing w:after="0" w:line="293" w:lineRule="auto"/>
        <w:tabs>
          <w:tab w:leader="none" w:pos="16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Borrower, nor any Subsidiary thereof, is subject to any proceeding, suit or, to Borrowers’ knowledge, investigation by any federal, state or local government or quasi-governmental body, agency, board or authority or any other administrative or investigative body (including the Office of the Inspector General of the United States Department of Health and Human Services): (i) which may result in the imposition of a fine, alternative, interim or final sanction, a lower reimbursement rate for services rendered to eligible patients which has not been provided for on their respective financial statements, and, in each case, which could reasonably be expected to result in a Material Adverse Effect; or (ii) which would reasonably be expected to result in the revocation, transfer, surrender, suspension or other impairment of any material Permits of Borrower or any Subsidiary.</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340"/>
          </w:cols>
          <w:pgMar w:left="320" w:top="1057" w:right="239" w:bottom="1440" w:gutter="0" w:footer="0" w:header="0"/>
        </w:sectPr>
      </w:pPr>
    </w:p>
    <w:bookmarkStart w:id="53" w:name="page54"/>
    <w:bookmarkEnd w:id="53"/>
    <w:p>
      <w:pPr>
        <w:jc w:val="both"/>
        <w:ind w:firstLine="648"/>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Accuracy of Schedules</w:t>
      </w:r>
      <w:r>
        <w:rPr>
          <w:rFonts w:ascii="Arial" w:cs="Arial" w:eastAsia="Arial" w:hAnsi="Arial"/>
          <w:sz w:val="18"/>
          <w:szCs w:val="18"/>
          <w:color w:val="auto"/>
        </w:rPr>
        <w:t>. All information set forth in the Schedules to this Agreement (including Schedule 3.19 and Schedule 4.17) is true, accurate and complete as of the Closing Date, the date of delivery of the last Compliance Certificate and any other subsequent date in which Borrower is requested to update such Schedules. All information set forth in the Perfection Certificate is true, accurate and complete as of the Closing Date and any other subsequent date in which Borrower is requested to update such certificate.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Purchase Agreement</w:t>
      </w:r>
      <w:r>
        <w:rPr>
          <w:rFonts w:ascii="Arial" w:cs="Arial" w:eastAsia="Arial" w:hAnsi="Arial"/>
          <w:sz w:val="18"/>
          <w:szCs w:val="18"/>
          <w:color w:val="auto"/>
        </w:rPr>
        <w:t>. As of the Closing Date, Borrower has delivered to Agent a complete and correct copy of the Purchase Agreement (including all schedules, exhibits, amendments, supplements, modifications, assignments and all other documents delivered pursuant thereto or in connection therewith). No Credit Party and to the knowledge of Borrowers no other Person party thereto is in default in any material respect in the performance or compliance with any material provisions thereof. The Purchase Agreement is in full force and effect as of the Closing Date and has not been terminated, rescinded or withdrawn.</w:t>
      </w:r>
    </w:p>
    <w:p>
      <w:pPr>
        <w:spacing w:after="0" w:line="18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ARTICLE 4- 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agrees that, so long as any Credit Exposure exists:</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Financial Statements and Other Reports</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Borrower will deliver to Agent:</w:t>
      </w:r>
    </w:p>
    <w:p>
      <w:pPr>
        <w:spacing w:after="0" w:line="225" w:lineRule="exact"/>
        <w:rPr>
          <w:sz w:val="20"/>
          <w:szCs w:val="20"/>
          <w:color w:val="auto"/>
        </w:rPr>
      </w:pPr>
    </w:p>
    <w:p>
      <w:pPr>
        <w:jc w:val="both"/>
        <w:ind w:left="80" w:firstLine="1306"/>
        <w:spacing w:after="0" w:line="259" w:lineRule="auto"/>
        <w:tabs>
          <w:tab w:leader="none" w:pos="17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soon as available, but no later than forty-five (45) days after the last day of each of Borrower’s fiscal quarters (or, in the case of a fiscal quarter ending on December 31, sixty (60) days), a company prepared consolidated and consolidating balance sheet, cash flow and income statement covering Borrowers’ and its Consolidated Subsidiaries’ consolidated operations during the period, prepared under GAAP, consistently applied, certified by a Responsible Officer and in a form reasonably acceptable to Agent;</w:t>
      </w:r>
    </w:p>
    <w:p>
      <w:pPr>
        <w:spacing w:after="0" w:line="186" w:lineRule="exact"/>
        <w:rPr>
          <w:rFonts w:ascii="Arial" w:cs="Arial" w:eastAsia="Arial" w:hAnsi="Arial"/>
          <w:sz w:val="18"/>
          <w:szCs w:val="18"/>
          <w:color w:val="auto"/>
        </w:rPr>
      </w:pPr>
    </w:p>
    <w:p>
      <w:pPr>
        <w:jc w:val="both"/>
        <w:ind w:left="80" w:firstLine="1306"/>
        <w:spacing w:after="0" w:line="264" w:lineRule="auto"/>
        <w:tabs>
          <w:tab w:leader="none" w:pos="18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soon as available, but no later than ninety (90) days after the last day of Borrower’s fiscal year, audited consolidated and consolidating financial statements prepared under GAAP, consistently applied, together with an unqualified opinion on the financial statements from an independent certified public accounting firm acceptable to Agent in its reasonable discretion;</w:t>
      </w:r>
    </w:p>
    <w:p>
      <w:pPr>
        <w:spacing w:after="0" w:line="181" w:lineRule="exact"/>
        <w:rPr>
          <w:rFonts w:ascii="Arial" w:cs="Arial" w:eastAsia="Arial" w:hAnsi="Arial"/>
          <w:sz w:val="18"/>
          <w:szCs w:val="18"/>
          <w:color w:val="auto"/>
        </w:rPr>
      </w:pPr>
    </w:p>
    <w:p>
      <w:pPr>
        <w:jc w:val="both"/>
        <w:ind w:left="80" w:firstLine="1306"/>
        <w:spacing w:after="0" w:line="264" w:lineRule="auto"/>
        <w:tabs>
          <w:tab w:leader="none" w:pos="18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within five (5) Business Days of delivery or filing thereof, copies of all material statements, reports and notices made available to Borrower’s security holders or to any holders of Subordinated Debt and copies of all reports and other filings made by Borrower with any stock exchange on which any securities of any Borrower are traded and/or the SEC;</w:t>
      </w:r>
    </w:p>
    <w:p>
      <w:pPr>
        <w:spacing w:after="0" w:line="181" w:lineRule="exact"/>
        <w:rPr>
          <w:rFonts w:ascii="Arial" w:cs="Arial" w:eastAsia="Arial" w:hAnsi="Arial"/>
          <w:sz w:val="18"/>
          <w:szCs w:val="18"/>
          <w:color w:val="auto"/>
        </w:rPr>
      </w:pPr>
    </w:p>
    <w:p>
      <w:pPr>
        <w:ind w:left="80" w:firstLine="1306"/>
        <w:spacing w:after="0" w:line="308" w:lineRule="auto"/>
        <w:tabs>
          <w:tab w:leader="none" w:pos="1877"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prompt written report of any legal actions pending or threatened against any Borrower or any of its Subsidiaries that would reasonably be expected to result in damages or costs to any Borrower or any of its Subsidiaries of One Million Dollars ($1,000,000) or more;</w:t>
      </w:r>
    </w:p>
    <w:p>
      <w:pPr>
        <w:spacing w:after="0" w:line="146" w:lineRule="exact"/>
        <w:rPr>
          <w:rFonts w:ascii="Arial" w:cs="Arial" w:eastAsia="Arial" w:hAnsi="Arial"/>
          <w:sz w:val="17"/>
          <w:szCs w:val="17"/>
          <w:color w:val="auto"/>
        </w:rPr>
      </w:pPr>
    </w:p>
    <w:p>
      <w:pPr>
        <w:ind w:left="1760" w:hanging="374"/>
        <w:spacing w:after="0"/>
        <w:tabs>
          <w:tab w:leader="none" w:pos="1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prompt written notice of an event that materially and adversely affects the value of any Intellectual Property;</w:t>
      </w:r>
    </w:p>
    <w:p>
      <w:pPr>
        <w:spacing w:after="0" w:line="225" w:lineRule="exact"/>
        <w:rPr>
          <w:rFonts w:ascii="Arial" w:cs="Arial" w:eastAsia="Arial" w:hAnsi="Arial"/>
          <w:sz w:val="18"/>
          <w:szCs w:val="18"/>
          <w:color w:val="auto"/>
        </w:rPr>
      </w:pPr>
    </w:p>
    <w:p>
      <w:pPr>
        <w:ind w:left="1740" w:hanging="354"/>
        <w:spacing w:after="0"/>
        <w:tabs>
          <w:tab w:leader="none" w:pos="17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within sixty (60) days after the start of each fiscal year, projections for the forthcoming fiscal year, on a quarterly basis;</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20"/>
          </w:cols>
          <w:pgMar w:left="240" w:top="1057" w:right="239" w:bottom="1440" w:gutter="0" w:footer="0" w:header="0"/>
        </w:sectPr>
      </w:pPr>
    </w:p>
    <w:bookmarkStart w:id="54" w:name="page55"/>
    <w:bookmarkEnd w:id="54"/>
    <w:p>
      <w:pPr>
        <w:ind w:left="80" w:firstLine="1306"/>
        <w:spacing w:after="0" w:line="277" w:lineRule="auto"/>
        <w:tabs>
          <w:tab w:leader="none" w:pos="178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at least once annually, such budgets, sales projections, and operating plans regarding the Borrowers, their business and the Collateral in a form consistent with that shared with the Board of Directors of Borrower;</w:t>
      </w:r>
    </w:p>
    <w:p>
      <w:pPr>
        <w:spacing w:after="0" w:line="170" w:lineRule="exact"/>
        <w:rPr>
          <w:rFonts w:ascii="Arial" w:cs="Arial" w:eastAsia="Arial" w:hAnsi="Arial"/>
          <w:sz w:val="18"/>
          <w:szCs w:val="18"/>
          <w:color w:val="auto"/>
        </w:rPr>
      </w:pPr>
    </w:p>
    <w:p>
      <w:pPr>
        <w:jc w:val="both"/>
        <w:ind w:left="80" w:firstLine="1306"/>
        <w:spacing w:after="0" w:line="255" w:lineRule="auto"/>
        <w:tabs>
          <w:tab w:leader="none" w:pos="19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written notice to Agent promptly, and in any event within ten (10) Business Days of a Responsible Officer of a Borrower determining, becoming aware or receiving notice from any Governmental Authority with relevant jurisdiction and authority or any employee or officer of Borrower that: (i) development, testing, and/or manufacturing of any Product that is material to Borrowers’ business will cease, (ii) the marketing or sales of a Product, which is material to Borrowers’ business and which has been approved for marketing and sale, will cease or such Product will be withdrawn from the marketplace, (iii) any Governmental Authority is conducting an investigation or review of any material Regulatory Required Permit or (iv) any material Regulatory Required Permit has been revoked or withdrawn;</w:t>
      </w:r>
    </w:p>
    <w:p>
      <w:pPr>
        <w:spacing w:after="0" w:line="193" w:lineRule="exact"/>
        <w:rPr>
          <w:rFonts w:ascii="Arial" w:cs="Arial" w:eastAsia="Arial" w:hAnsi="Arial"/>
          <w:sz w:val="18"/>
          <w:szCs w:val="18"/>
          <w:color w:val="auto"/>
        </w:rPr>
      </w:pPr>
    </w:p>
    <w:p>
      <w:pPr>
        <w:jc w:val="both"/>
        <w:ind w:left="80" w:firstLine="1306"/>
        <w:spacing w:after="0" w:line="257" w:lineRule="auto"/>
        <w:tabs>
          <w:tab w:leader="none" w:pos="1776" w:val="left"/>
        </w:tabs>
        <w:numPr>
          <w:ilvl w:val="1"/>
          <w:numId w:val="61"/>
        </w:numPr>
        <w:rPr>
          <w:rFonts w:ascii="Arial" w:cs="Arial" w:eastAsia="Arial" w:hAnsi="Arial"/>
          <w:sz w:val="18"/>
          <w:szCs w:val="18"/>
          <w:color w:val="auto"/>
        </w:rPr>
      </w:pPr>
      <w:r>
        <w:rPr>
          <w:rFonts w:ascii="Arial" w:cs="Arial" w:eastAsia="Arial" w:hAnsi="Arial"/>
          <w:sz w:val="18"/>
          <w:szCs w:val="18"/>
          <w:color w:val="auto"/>
        </w:rPr>
        <w:t>promptly, but in any event within five (5) Business Days, after any Responsible Officer of any Borrower obtains knowledge of the occurrence of any event or change (including, without limitation, any notice of any violation of Healthcare Laws) that has resulted or would reasonably be expected to result in a Material Adverse Effect, a certificate of a Responsible Officer specifying the nature and period of existence of any such event or change, or specifying the notice given or action taken by such holder or Person and the nature of such event or change, and what action the applicable Credit Party or Subsidiary has taken, is taking or proposes to take with respect thereto;</w:t>
      </w:r>
    </w:p>
    <w:p>
      <w:pPr>
        <w:spacing w:after="0" w:line="188" w:lineRule="exact"/>
        <w:rPr>
          <w:rFonts w:ascii="Arial" w:cs="Arial" w:eastAsia="Arial" w:hAnsi="Arial"/>
          <w:sz w:val="18"/>
          <w:szCs w:val="18"/>
          <w:color w:val="auto"/>
        </w:rPr>
      </w:pPr>
    </w:p>
    <w:p>
      <w:pPr>
        <w:jc w:val="both"/>
        <w:ind w:left="80" w:firstLine="1306"/>
        <w:spacing w:after="0" w:line="286" w:lineRule="auto"/>
        <w:tabs>
          <w:tab w:leader="none" w:pos="1748"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within thirty (30) days after the last day of each month, a duly completed Compliance Certificate signed by a Responsible Officer (i) setting forth calculations showing monthly cash and cash equivalents of Borrowers and Borrowers and their Consolidated Subsidiaries, and (ii) for each Compliance Certificate delivered with respect to the last month of a fiscal quarter, certifying compliance with the financial covenants set forth in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Compliance Certificate delivered with respect to the last month of a fiscal quarter shall be delivered within forty five</w:t>
      </w:r>
    </w:p>
    <w:p>
      <w:pPr>
        <w:spacing w:after="0" w:line="1" w:lineRule="exact"/>
        <w:rPr>
          <w:rFonts w:ascii="Arial" w:cs="Arial" w:eastAsia="Arial" w:hAnsi="Arial"/>
          <w:sz w:val="16"/>
          <w:szCs w:val="16"/>
          <w:color w:val="auto"/>
        </w:rPr>
      </w:pPr>
    </w:p>
    <w:p>
      <w:pPr>
        <w:ind w:left="440" w:hanging="351"/>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days after the last day of each fiscal quarter; and</w:t>
      </w:r>
    </w:p>
    <w:p>
      <w:pPr>
        <w:spacing w:after="0" w:line="210" w:lineRule="exact"/>
        <w:rPr>
          <w:rFonts w:ascii="Arial" w:cs="Arial" w:eastAsia="Arial" w:hAnsi="Arial"/>
          <w:sz w:val="18"/>
          <w:szCs w:val="18"/>
          <w:color w:val="auto"/>
        </w:rPr>
      </w:pPr>
    </w:p>
    <w:p>
      <w:pPr>
        <w:jc w:val="both"/>
        <w:ind w:left="80" w:firstLine="1306"/>
        <w:spacing w:after="0" w:line="312" w:lineRule="auto"/>
        <w:tabs>
          <w:tab w:leader="none" w:pos="1823"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at least once following the end of each fiscal quarter, a list describing any new applications for the registration of any Intellectual Property, or acquired rights under a license as a licensee with respect to any such registered Intellectual Property (or any such application for the registration of Intellectual Property) owned by another Person, that has not previously been reported to Agent on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to the Credit Agreement.</w:t>
      </w:r>
    </w:p>
    <w:p>
      <w:pPr>
        <w:spacing w:after="0" w:line="1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Payment and Performance of Obligations</w:t>
      </w:r>
      <w:r>
        <w:rPr>
          <w:rFonts w:ascii="Arial" w:cs="Arial" w:eastAsia="Arial" w:hAnsi="Arial"/>
          <w:sz w:val="16"/>
          <w:szCs w:val="16"/>
          <w:color w:val="auto"/>
        </w:rPr>
        <w:t>. Each Borrower (a) will pay and discharge, and cause each Subsidiary to pay and discharge, on a timely basis as and when due, all of their respective obligations and liabilities, except for such obligations and/or liabilities (i) that may be the subject of a Permitted Contest, and (ii) the nonpayment or nondischarge of which would not reasonably be expected to have a Material Adverse Effect or result in a Lien against any Collateral, except for Permitted Liens, (b) without limiting anything contained in the foregoing clause (a), except to the extent subject to a Permitted Contest, pay all amounts due and owing in respect of Taxes (including without limitation, payroll and withholdings tax liabilities) on a timely basis as and when due, and in any case prior to the date on which any fine, penalty, interest, late charge or loss may be added thereto for nonpayment thereof,</w:t>
      </w:r>
    </w:p>
    <w:p>
      <w:pPr>
        <w:spacing w:after="0" w:line="5" w:lineRule="exact"/>
        <w:rPr>
          <w:sz w:val="20"/>
          <w:szCs w:val="20"/>
          <w:color w:val="auto"/>
        </w:rPr>
      </w:pPr>
    </w:p>
    <w:p>
      <w:pPr>
        <w:jc w:val="both"/>
        <w:ind w:firstLine="8"/>
        <w:spacing w:after="0" w:line="254" w:lineRule="auto"/>
        <w:tabs>
          <w:tab w:leader="none" w:pos="2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will maintain, and cause each Subsidiary to maintain, in accordance with GAAP, appropriate reserves for the accrual of all of their respective obligations and liabilities, and (d) will not breach or permit any Subsidiary to breach, or permit to exist any default under, the terms of any lease, commitment, contract, instrument or obligation to which it is a party, or by which its properties or assets are bound, except for such breaches or defaults which would not reasonably be expected to have a Material Adverse Effect.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20"/>
          </w:cols>
          <w:pgMar w:left="240" w:top="1057" w:right="239" w:bottom="1440" w:gutter="0" w:footer="0" w:header="0"/>
        </w:sectPr>
      </w:pPr>
    </w:p>
    <w:bookmarkStart w:id="55" w:name="page56"/>
    <w:bookmarkEnd w:id="55"/>
    <w:p>
      <w:pPr>
        <w:jc w:val="both"/>
        <w:ind w:firstLine="648"/>
        <w:spacing w:after="0" w:line="279"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Maintenance of Existence</w:t>
      </w:r>
      <w:r>
        <w:rPr>
          <w:rFonts w:ascii="Arial" w:cs="Arial" w:eastAsia="Arial" w:hAnsi="Arial"/>
          <w:sz w:val="17"/>
          <w:szCs w:val="17"/>
          <w:color w:val="auto"/>
        </w:rPr>
        <w:t>. Except as permitted by Section 5.6, each Borrower will preserve, renew and keep in full force and effect and in good standing, and will cause each Subsidiary to preserve, renew and keep in full force and effect and in good standing, (a) their respective existence and (b) their respective rights, privileges and franchises necessary or desirable in the normal conduct of business, except in the case of this clause (b) where the failure to do so would not reasonably be expected, individually or in the aggregate, to have a Material Adverse Effect.</w:t>
      </w:r>
    </w:p>
    <w:p>
      <w:pPr>
        <w:spacing w:after="0" w:line="17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Maintenance of Property; Insurance</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302" w:lineRule="auto"/>
        <w:tabs>
          <w:tab w:leader="none" w:pos="1791" w:val="left"/>
        </w:tabs>
        <w:numPr>
          <w:ilvl w:val="0"/>
          <w:numId w:val="64"/>
        </w:numPr>
        <w:rPr>
          <w:rFonts w:ascii="Arial" w:cs="Arial" w:eastAsia="Arial" w:hAnsi="Arial"/>
          <w:sz w:val="16"/>
          <w:szCs w:val="16"/>
          <w:color w:val="auto"/>
        </w:rPr>
      </w:pPr>
      <w:r>
        <w:rPr>
          <w:rFonts w:ascii="Arial" w:cs="Arial" w:eastAsia="Arial" w:hAnsi="Arial"/>
          <w:sz w:val="16"/>
          <w:szCs w:val="16"/>
          <w:color w:val="auto"/>
        </w:rPr>
        <w:t>Each Borrower will keep, and will cause each Subsidiary to keep, all property useful and necessary in its business in good working order and condition, ordinary wear and tear excepted. If all or any part of the Collateral useful or necessary in its business becomes damaged or destroyed, each Borrower will, and will cause each Subsidiary to, promptly and completely repair and/or restore the affected Collateral in a good and workmanlike manner, regardless of whether Agent agrees to disburse insurance proceeds or other sums to pay costs of the work of repair or reconstruction.</w:t>
      </w:r>
    </w:p>
    <w:p>
      <w:pPr>
        <w:spacing w:after="0" w:line="154" w:lineRule="exact"/>
        <w:rPr>
          <w:rFonts w:ascii="Arial" w:cs="Arial" w:eastAsia="Arial" w:hAnsi="Arial"/>
          <w:sz w:val="16"/>
          <w:szCs w:val="16"/>
          <w:color w:val="auto"/>
        </w:rPr>
      </w:pPr>
    </w:p>
    <w:p>
      <w:pPr>
        <w:ind w:left="80" w:firstLine="1306"/>
        <w:spacing w:after="0" w:line="277" w:lineRule="auto"/>
        <w:tabs>
          <w:tab w:leader="none" w:pos="17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completion of any Permitted Contest, Borrowers shall, and will cause each Subsidiary to, promptly pay the amount due, if any, and deliver to Agent proof of the completion of the contest and payment of the amount due, if any.</w:t>
      </w:r>
    </w:p>
    <w:p>
      <w:pPr>
        <w:spacing w:after="0" w:line="170" w:lineRule="exact"/>
        <w:rPr>
          <w:rFonts w:ascii="Arial" w:cs="Arial" w:eastAsia="Arial" w:hAnsi="Arial"/>
          <w:sz w:val="18"/>
          <w:szCs w:val="18"/>
          <w:color w:val="auto"/>
        </w:rPr>
      </w:pPr>
    </w:p>
    <w:p>
      <w:pPr>
        <w:jc w:val="both"/>
        <w:ind w:left="80" w:firstLine="1306"/>
        <w:spacing w:after="0" w:line="290" w:lineRule="auto"/>
        <w:tabs>
          <w:tab w:leader="none" w:pos="18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Borrower will maintain (i) casualty insurance on all real and personal property on an all risks basis (including the perils of flood, windstorm and quake, if applicable), covering the repair and replacement cost of all such property and coverage, business interruption and rent loss coverages with extended period of indemnity (for the period required by Agent from time to time) and indemnity for extra expense, in each case without application of coinsurance and with agreed amount endorsements, (ii) general and professional liability insurance (including products/completed operations liability coverage), and (iii) such other insurance coverage, in each case against loss or damage of the kinds customarily insured against by Persons engaged in the same or similar business, of such types and in such amounts as are customarily carried under similar circumstances by such other Persons;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such insurance be in amounts or with coverage less than, or with carriers with credit ratings materially inferior to, any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or carriers in existence as of the Closing Date (or required to be in existence after the Closing Date under a Financing Document).</w:t>
      </w:r>
    </w:p>
    <w:p>
      <w:pPr>
        <w:spacing w:after="0" w:line="166" w:lineRule="exact"/>
        <w:rPr>
          <w:rFonts w:ascii="Arial" w:cs="Arial" w:eastAsia="Arial" w:hAnsi="Arial"/>
          <w:sz w:val="16"/>
          <w:szCs w:val="16"/>
          <w:color w:val="auto"/>
        </w:rPr>
      </w:pPr>
    </w:p>
    <w:p>
      <w:pPr>
        <w:jc w:val="both"/>
        <w:ind w:left="80" w:firstLine="1306"/>
        <w:spacing w:after="0" w:line="269" w:lineRule="auto"/>
        <w:tabs>
          <w:tab w:leader="none" w:pos="1818"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or prior to the Closing Date, and at all times thereafter, each Borrower will cause Agent to be named as an additional insured, assignee and lender loss payee (which shall include, as applicable, identification as mortgagee), as applicable, on each insurance policy required to be maintained pursuant to this Section 4.4 pursuant to endorsements in form and substance acceptable to Agent. Borrowers shall deliver to Agent and the Lenders (i) on the Closing Date, a certificate from Borrowers’ insurance broker dated such date showing the amount of coverage as of such date, and that such policies will include effective waivers (whether under the terms of any such policy or otherwise) by the insurer of all claims for insurance premiums against all loss payees and additional insureds and all rights of subrogation against all loss payees and additional insureds, and that if all or any part of such policy is canceled, terminated or expires, the insurer will forthwith give notice thereof to each additional insured, assignee and loss payee and that no cancellation, reduction in amount or material change in coverage thereof shall be effective until at least thirty (30) days after receipt by each additional insured, assignee and loss payee of written notice thereof, (ii) on an annual basis, and upon the request of any Lender through Agent from time to time full information reasonably requested by Agent as to the insurance carried, (iii) within five (5) days of receipt of notice from any insurer, a copy of any notice of cancellation, nonrenewal or material change in coverage from that existing on the date of this Agreement, (iv) forthwith, notice of any cancellation or nonrenewal of coverage by any Borrower,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1057" w:right="239" w:bottom="1440" w:gutter="0" w:footer="0" w:header="0"/>
        </w:sectPr>
      </w:pPr>
    </w:p>
    <w:bookmarkStart w:id="56" w:name="page57"/>
    <w:bookmarkEnd w:id="56"/>
    <w:p>
      <w:pPr>
        <w:ind w:left="260" w:hanging="252"/>
        <w:spacing w:after="0"/>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 least sixty (60) days prior to expiration of any policy of insurance, evidence of renewal of such insurance upon the terms and conditions herein required.</w:t>
      </w:r>
    </w:p>
    <w:p>
      <w:pPr>
        <w:spacing w:after="0" w:line="248" w:lineRule="exact"/>
        <w:rPr>
          <w:rFonts w:ascii="Arial" w:cs="Arial" w:eastAsia="Arial" w:hAnsi="Arial"/>
          <w:sz w:val="16"/>
          <w:szCs w:val="16"/>
          <w:color w:val="auto"/>
        </w:rPr>
      </w:pPr>
    </w:p>
    <w:p>
      <w:pPr>
        <w:jc w:val="both"/>
        <w:ind w:left="80" w:firstLine="1306"/>
        <w:spacing w:after="0" w:line="271" w:lineRule="auto"/>
        <w:tabs>
          <w:tab w:leader="none" w:pos="1806" w:val="left"/>
        </w:tabs>
        <w:numPr>
          <w:ilvl w:val="1"/>
          <w:numId w:val="65"/>
        </w:numPr>
        <w:rPr>
          <w:rFonts w:ascii="Arial" w:cs="Arial" w:eastAsia="Arial" w:hAnsi="Arial"/>
          <w:sz w:val="17"/>
          <w:szCs w:val="17"/>
          <w:color w:val="auto"/>
        </w:rPr>
      </w:pPr>
      <w:r>
        <w:rPr>
          <w:rFonts w:ascii="Arial" w:cs="Arial" w:eastAsia="Arial" w:hAnsi="Arial"/>
          <w:sz w:val="17"/>
          <w:szCs w:val="17"/>
          <w:color w:val="auto"/>
        </w:rPr>
        <w:t>In the event any Borrower fails to provide Agent with evidence of the insurance coverage required by this Agreement, Agent may purchase insurance at Borrowers’ expense to protect Agent’s interests in the Collateral. This insurance may, but need not, protect such Borrower’s interests. The coverage purchased by Agent may not pay any claim made by such Borrower or any claim that is made against such Borrower in connection with the Collateral. Such Borrower may later cancel any insurance purchased by Agent, but only after providing Agent with evidence that such Borrower has obtained insurance as required by this Agreement. If Agent purchases insurance for the Collateral, Borrowers will be responsible for the costs of that insurance to the fullest extent provided by law, including interest and other charges imposed by Agent in connection with the placement of the insurance, until the effective date of the cancellation or expiration of the insurance. The costs of the insurance may be added to the Obligations. The costs of the insurance may be more than the cost of insurance such Borrower is able to obtain on its own.</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Compliance with Laws and Material Contracts</w:t>
      </w:r>
      <w:r>
        <w:rPr>
          <w:rFonts w:ascii="Arial" w:cs="Arial" w:eastAsia="Arial" w:hAnsi="Arial"/>
          <w:sz w:val="16"/>
          <w:szCs w:val="16"/>
          <w:color w:val="auto"/>
        </w:rPr>
        <w:t>. Each Borrower will comply, and cause each Subsidiary to comply, with the requirements of all applicable Laws and Material Contracts, except to the extent that failure to so comply would not reasonably be expected to (a) have a Material Adverse Effect, (b) result in any Lien upon either (i) a material portion of the assets of any such Person in favor of any Governmental Authority, or</w:t>
      </w:r>
    </w:p>
    <w:p>
      <w:pPr>
        <w:ind w:firstLine="8"/>
        <w:spacing w:after="0" w:line="290" w:lineRule="auto"/>
        <w:tabs>
          <w:tab w:leader="none" w:pos="284"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Collateral constituting material Intellectual Property or (c) in the case of the Closing Date Intercompany Agreements, result in a reduction of the amount of cash and cash equivalents paid to Borrower by the Excluded Foreign Subsidiaries pursuant to the terms thereof in any material respect.</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Inspection of Property, Books and Records</w:t>
      </w:r>
      <w:r>
        <w:rPr>
          <w:rFonts w:ascii="Arial" w:cs="Arial" w:eastAsia="Arial" w:hAnsi="Arial"/>
          <w:sz w:val="16"/>
          <w:szCs w:val="16"/>
          <w:color w:val="auto"/>
        </w:rPr>
        <w:t xml:space="preserve">. Each Borrower will keep, and will cause each Subsidiary to keep, proper books of record substantially in accordance with GAAP in which full, true and correct entries shall be made of all dealings and transactions in relation to its business and activities; and will permit, and will cause each Subsidiary to permit, at the sole cost of the applicable Borrower or any applicable Subsidiary, representatives of Agent and of any Lender to visit and inspect any of their respective properties, to examine and make abstracts or copies from any of their respective books and records, to conduct a collateral audit and analysis of their respective operations and the Collateral, to verify the amount and age of the Accounts, the identity and credit of the respective Account Debtors, to review the billing practices of Borrowers and to discuss their respective affairs, finances and accounts with their respective officers, employees and independent public accountants as often as may reasonably be desired. In the absence of a Default or an Event of Default, Agent or any Lender shall exercise rights pursuant to this Section 4.6 (a) only during reasonable business hours and on at least two (2) Business Days’ advance written notice and (b) no more than twice per calendar year at the Borrowers’ expense;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notice shall be required and no such limitation on reimbursement shall apply during the existence and continuance of any Default or Event of Default.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Use of Proceeds</w:t>
      </w:r>
      <w:r>
        <w:rPr>
          <w:rFonts w:ascii="Arial" w:cs="Arial" w:eastAsia="Arial" w:hAnsi="Arial"/>
          <w:sz w:val="18"/>
          <w:szCs w:val="18"/>
          <w:color w:val="auto"/>
        </w:rPr>
        <w:t>. Borrowers shall use the proceeds of the Loans solely for working capital needs of Borrowers and their Subsidiaries and other general corporate purposes, including, for the avoidance of doubt, payment of any transaction fees incurred pursuant to the Financing Documents. No portion of the proceeds of the Loans will be used for family, personal, agricultural or household use.</w:t>
      </w:r>
    </w:p>
    <w:p>
      <w:pPr>
        <w:spacing w:after="0" w:line="18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4.8</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Notices of Material Contracts, Litigation and Defaults</w:t>
      </w:r>
      <w:r>
        <w:rPr>
          <w:rFonts w:ascii="Arial" w:cs="Arial" w:eastAsia="Arial" w:hAnsi="Arial"/>
          <w:sz w:val="16"/>
          <w:szCs w:val="16"/>
          <w:color w:val="auto"/>
        </w:rPr>
        <w: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20"/>
          </w:cols>
          <w:pgMar w:left="240" w:top="625" w:right="239" w:bottom="1440" w:gutter="0" w:footer="0" w:header="0"/>
        </w:sectPr>
      </w:pPr>
    </w:p>
    <w:bookmarkStart w:id="57" w:name="page58"/>
    <w:bookmarkEnd w:id="57"/>
    <w:p>
      <w:pPr>
        <w:jc w:val="both"/>
        <w:ind w:firstLine="1306"/>
        <w:spacing w:after="0" w:line="270" w:lineRule="auto"/>
        <w:tabs>
          <w:tab w:leader="none" w:pos="1681" w:val="left"/>
        </w:tabs>
        <w:numPr>
          <w:ilvl w:val="1"/>
          <w:numId w:val="67"/>
        </w:numPr>
        <w:rPr>
          <w:rFonts w:ascii="Arial" w:cs="Arial" w:eastAsia="Arial" w:hAnsi="Arial"/>
          <w:sz w:val="17"/>
          <w:szCs w:val="17"/>
          <w:color w:val="auto"/>
        </w:rPr>
      </w:pPr>
      <w:r>
        <w:rPr>
          <w:rFonts w:ascii="Arial" w:cs="Arial" w:eastAsia="Arial" w:hAnsi="Arial"/>
          <w:sz w:val="17"/>
          <w:szCs w:val="17"/>
          <w:color w:val="auto"/>
        </w:rPr>
        <w:t>Borrower shall provide (i) three (3) Business Days written notice to Agent after any Borrower or Subsidiary (1) executes and delivers any amendment, consent, waiver or other modification to any intercompany Material Contract which is material and adverse to (x) Agent or Lenders, (y) Borrowers or their Subsidiaries, or (z) which would reasonably be expected to have a Material Adverse Effect, (2) receives or delivers any notice of termination or default or similar notice in connection with any intercompany Material Contract, or (3) executes and delivers any amendment, consent, waiver or other modification to any Material Contract or receives or delivers any notice of termination or default or similar notice in connection with any Material Contract, in either case where the same would obligate the filing by the Borrower of a current report under Section 13 or 15(d) of the Securities Exchange Act of 1934 and (ii) together with delivery of the next Compliance Certificate (included as an update to any such schedule delivered therewith) notice of (A) the execution of any new Material Contract, and (B) any new material amendment, consent, waiver or other modification to any intercompany Material Contract not previously disclosed.</w:t>
      </w:r>
    </w:p>
    <w:p>
      <w:pPr>
        <w:spacing w:after="0" w:line="181" w:lineRule="exact"/>
        <w:rPr>
          <w:rFonts w:ascii="Arial" w:cs="Arial" w:eastAsia="Arial" w:hAnsi="Arial"/>
          <w:sz w:val="17"/>
          <w:szCs w:val="17"/>
          <w:color w:val="auto"/>
        </w:rPr>
      </w:pPr>
    </w:p>
    <w:p>
      <w:pPr>
        <w:jc w:val="both"/>
        <w:ind w:firstLine="1306"/>
        <w:spacing w:after="0" w:line="288" w:lineRule="auto"/>
        <w:tabs>
          <w:tab w:leader="none" w:pos="1734" w:val="left"/>
        </w:tabs>
        <w:numPr>
          <w:ilvl w:val="1"/>
          <w:numId w:val="67"/>
        </w:numPr>
        <w:rPr>
          <w:rFonts w:ascii="Arial" w:cs="Arial" w:eastAsia="Arial" w:hAnsi="Arial"/>
          <w:sz w:val="16"/>
          <w:szCs w:val="16"/>
          <w:color w:val="auto"/>
        </w:rPr>
      </w:pPr>
      <w:r>
        <w:rPr>
          <w:rFonts w:ascii="Arial" w:cs="Arial" w:eastAsia="Arial" w:hAnsi="Arial"/>
          <w:sz w:val="16"/>
          <w:szCs w:val="16"/>
          <w:color w:val="auto"/>
        </w:rPr>
        <w:t>Borrowers shall promptly (but in any event within three (3) Business Days) provide written notice to Agent (i) of any litigation or governmental proceedings pending or threatened (in writing) against Borrowers or other Credit Party that (A) would reasonably be expected to have a Material Adverse Effect or result in a judgment against, or liability for, any Credit Party or any Subsidiary thereof for an amount in excess of $1,000,000, or</w:t>
      </w:r>
    </w:p>
    <w:p>
      <w:pPr>
        <w:jc w:val="both"/>
        <w:ind w:firstLine="9"/>
        <w:spacing w:after="0" w:line="269" w:lineRule="auto"/>
        <w:tabs>
          <w:tab w:leader="none" w:pos="291"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any manner calls into question the validity or enforceability of any Financing Document, (ii) upon any Borrower becoming aware of the existence of any Default or Event of Default, (iii) of any strikes or other labor disputes pending or, to any Borrower’s knowledge, threatened in writing against any Credit Party which would reasonably be expected to have a Material Adverse Effect, and (iv) if there is any infringement or claim of infringement by any other Person with respect to any Intellectual Property rights of any Credit Party that would reasonably be expected to have a Material Adverse Effect, or if there is any written claim by any other Person that any Credit Party in the conduct of its business is infringing on the Intellectual Property rights of others and an adverse resolution of such claim would reasonably be expected to have a Material Adverse Effect. Borrowers represent and warrant that Schedule 4.9 sets forth a complete list of all matters existing as of the Closing Date for which notice could be required under this Section 4.9(b).</w:t>
      </w:r>
    </w:p>
    <w:p>
      <w:pPr>
        <w:spacing w:after="0" w:line="180" w:lineRule="exact"/>
        <w:rPr>
          <w:rFonts w:ascii="Arial" w:cs="Arial" w:eastAsia="Arial" w:hAnsi="Arial"/>
          <w:sz w:val="17"/>
          <w:szCs w:val="17"/>
          <w:color w:val="auto"/>
        </w:rPr>
      </w:pPr>
    </w:p>
    <w:p>
      <w:pPr>
        <w:jc w:val="both"/>
        <w:ind w:firstLine="1306"/>
        <w:spacing w:after="0" w:line="255" w:lineRule="auto"/>
        <w:tabs>
          <w:tab w:leader="none" w:pos="1743" w:val="left"/>
        </w:tabs>
        <w:numPr>
          <w:ilvl w:val="1"/>
          <w:numId w:val="68"/>
        </w:numPr>
        <w:rPr>
          <w:rFonts w:ascii="Arial" w:cs="Arial" w:eastAsia="Arial" w:hAnsi="Arial"/>
          <w:sz w:val="18"/>
          <w:szCs w:val="18"/>
          <w:color w:val="auto"/>
        </w:rPr>
      </w:pPr>
      <w:r>
        <w:rPr>
          <w:rFonts w:ascii="Arial" w:cs="Arial" w:eastAsia="Arial" w:hAnsi="Arial"/>
          <w:sz w:val="18"/>
          <w:szCs w:val="18"/>
          <w:color w:val="auto"/>
        </w:rPr>
        <w:t>Borrower shall, and shall cause each Subsidiary, to provide such further information (including copies of such documentation) as Agent or any Lender shall reasonably request with respect to any of the events or notices described in clauses (a) and (b) above. From the date hereof and continuing through the termination of this Agreement, Borrower shall, and shall cause each Credit Party to, make reasonably available to Agent and each Lender, without expense to Agent or any Lender, each Credit Party’s officers, employees and agents and books, to the extent that Agent or any Lender may deem them reasonably necessary to prosecute or defend any third-party suit or proceeding instituted by or against Agent or any Lender with respect to any Collateral or relating to a Credit Party.</w:t>
      </w:r>
    </w:p>
    <w:p>
      <w:pPr>
        <w:spacing w:after="0" w:line="193"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Hazardous Materials; Remediation</w:t>
      </w:r>
      <w:r>
        <w:rPr>
          <w:rFonts w:ascii="Arial" w:cs="Arial" w:eastAsia="Arial" w:hAnsi="Arial"/>
          <w:sz w:val="16"/>
          <w:szCs w:val="16"/>
          <w:color w:val="auto"/>
        </w:rPr>
        <w:t>.</w:t>
      </w:r>
    </w:p>
    <w:p>
      <w:pPr>
        <w:spacing w:after="0" w:line="225" w:lineRule="exact"/>
        <w:rPr>
          <w:sz w:val="20"/>
          <w:szCs w:val="20"/>
          <w:color w:val="auto"/>
        </w:rPr>
      </w:pPr>
    </w:p>
    <w:p>
      <w:pPr>
        <w:jc w:val="both"/>
        <w:ind w:firstLine="1306"/>
        <w:spacing w:after="0" w:line="273" w:lineRule="auto"/>
        <w:tabs>
          <w:tab w:leader="none" w:pos="1716"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any release or disposal of Hazardous Materials shall occur or shall have occurred on any real property or any other assets of any Borrower or any other Credit Party, such Borrower will cause, or direct the applicable Credit Party to cause, the prompt containment and removal of such Hazardous Materials and the remediation of such real property or other assets as is necessary to comply with all applicable Environmental Laws and Healthcare Laws and to preserve the value of such real property or other assets. Without limiting the generality of the foregoing, each Borrower shall, and shall cause each other Credit Party to, comply with each Environmental Law and Healthcare Law requiring the performance at any real property by any Borrower or any other Credit Party of activities in response to the release or threatened release of a Hazardous Material.</w:t>
      </w: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340"/>
          </w:cols>
          <w:pgMar w:left="320" w:top="1057" w:right="239" w:bottom="1440" w:gutter="0" w:footer="0" w:header="0"/>
        </w:sectPr>
      </w:pPr>
    </w:p>
    <w:bookmarkStart w:id="58" w:name="page59"/>
    <w:bookmarkEnd w:id="58"/>
    <w:p>
      <w:pPr>
        <w:jc w:val="both"/>
        <w:ind w:firstLine="1306"/>
        <w:spacing w:after="0" w:line="297" w:lineRule="auto"/>
        <w:tabs>
          <w:tab w:leader="none" w:pos="1725" w:val="left"/>
        </w:tabs>
        <w:numPr>
          <w:ilvl w:val="0"/>
          <w:numId w:val="70"/>
        </w:numPr>
        <w:rPr>
          <w:rFonts w:ascii="Arial" w:cs="Arial" w:eastAsia="Arial" w:hAnsi="Arial"/>
          <w:sz w:val="16"/>
          <w:szCs w:val="16"/>
          <w:color w:val="auto"/>
        </w:rPr>
      </w:pPr>
      <w:r>
        <w:rPr>
          <w:rFonts w:ascii="Arial" w:cs="Arial" w:eastAsia="Arial" w:hAnsi="Arial"/>
          <w:sz w:val="16"/>
          <w:szCs w:val="16"/>
          <w:color w:val="auto"/>
        </w:rPr>
        <w:t>Borrowers will provide Agent within thirty (30) days after written demand therefor with a bond, letter of credit or similar financial assurance evidencing to the reasonable satisfaction of Agent that sufficient funds are available to pay the cost of removing, treating and disposing of any Hazardous Materials or Hazardous Materials Contamination and discharging any assessment which may be established on any property as a result thereof, such demand to be made, if at all, upon Agent’s reasonable business determination that the failure to remove, treat or dispose of any Hazardous Materials or Hazardous Materials Contamination, or the failure to discharge any such assessment would reasonably be expected to have a Material Adverse Effect.</w:t>
      </w:r>
    </w:p>
    <w:p>
      <w:pPr>
        <w:spacing w:after="0" w:line="158" w:lineRule="exact"/>
        <w:rPr>
          <w:sz w:val="20"/>
          <w:szCs w:val="20"/>
          <w:color w:val="auto"/>
        </w:rPr>
      </w:pPr>
    </w:p>
    <w:p>
      <w:pPr>
        <w:ind w:left="580"/>
        <w:spacing w:after="0"/>
        <w:tabs>
          <w:tab w:leader="none" w:pos="162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225" w:lineRule="exact"/>
        <w:rPr>
          <w:sz w:val="20"/>
          <w:szCs w:val="20"/>
          <w:color w:val="auto"/>
        </w:rPr>
      </w:pPr>
    </w:p>
    <w:p>
      <w:pPr>
        <w:jc w:val="both"/>
        <w:ind w:firstLine="1306"/>
        <w:spacing w:after="0" w:line="253" w:lineRule="auto"/>
        <w:tabs>
          <w:tab w:leader="none" w:pos="17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Borrower will, and will cause each Subsidiary to, at its own cost and expense (except, with respect to Registered Intellectual Property registered in any jurisdiction located outside of the United States, only at each Borrowers own cost and expense following the occurrence of a Foreign IP Perfection Event), promptly and duly take, execute, acknowledge and deliver all such further acts, documents and assurances as may from time to time be necessary or as Agent or the Required Lenders may from time to time reasonably request in order to carry out the intent and purposes of the Financing Documents and the transactions contemplated thereby, including all such actions to (i) establish, create, preserve, protect and perfect a first priority Lien (subject only to Permitted Liens) in favor of Agent for itself and for the benefit of the Lenders on the Collateral (including Collateral acquired after the date hereof), and (ii) unless Agent shall agree otherwise in writing, cause all Subsidiaries of Borrowers (other than Excluded Foreign Subsidiaries) to be jointly and severally obligated with the other Borrowers under all covenants and obligations under this Agreement, including the obligation to repay the Obligations.</w:t>
      </w:r>
    </w:p>
    <w:p>
      <w:pPr>
        <w:spacing w:after="0" w:line="197" w:lineRule="exact"/>
        <w:rPr>
          <w:rFonts w:ascii="Arial" w:cs="Arial" w:eastAsia="Arial" w:hAnsi="Arial"/>
          <w:sz w:val="18"/>
          <w:szCs w:val="18"/>
          <w:color w:val="auto"/>
        </w:rPr>
      </w:pPr>
    </w:p>
    <w:p>
      <w:pPr>
        <w:jc w:val="both"/>
        <w:ind w:firstLine="1306"/>
        <w:spacing w:after="0" w:line="302" w:lineRule="auto"/>
        <w:tabs>
          <w:tab w:leader="none" w:pos="1694" w:val="left"/>
        </w:tabs>
        <w:numPr>
          <w:ilvl w:val="0"/>
          <w:numId w:val="71"/>
        </w:numPr>
        <w:rPr>
          <w:rFonts w:ascii="Arial" w:cs="Arial" w:eastAsia="Arial" w:hAnsi="Arial"/>
          <w:sz w:val="16"/>
          <w:szCs w:val="16"/>
          <w:color w:val="auto"/>
        </w:rPr>
      </w:pPr>
      <w:r>
        <w:rPr>
          <w:rFonts w:ascii="Arial" w:cs="Arial" w:eastAsia="Arial" w:hAnsi="Arial"/>
          <w:sz w:val="16"/>
          <w:szCs w:val="16"/>
          <w:color w:val="auto"/>
        </w:rPr>
        <w:t>Upon receipt of an affidavit of an authorized representative of Agent or a Lender as to the loss, theft, destruction or mutilation of any Note or any other Financing Document which is not of public record, and, in the case of any such mutilation, upon surrender and cancellation of such Note or other applicable Financing Document, Borrowers will issue, in lieu thereof, a replacement Note or other applicable Financing Document, dated the date of such lost, stolen, destroyed or mutilated Note or other Financing Document in the same principal amount thereof and otherwise of like tenor.</w:t>
      </w:r>
    </w:p>
    <w:p>
      <w:pPr>
        <w:spacing w:after="0" w:line="154" w:lineRule="exact"/>
        <w:rPr>
          <w:rFonts w:ascii="Arial" w:cs="Arial" w:eastAsia="Arial" w:hAnsi="Arial"/>
          <w:sz w:val="16"/>
          <w:szCs w:val="16"/>
          <w:color w:val="auto"/>
        </w:rPr>
      </w:pPr>
    </w:p>
    <w:p>
      <w:pPr>
        <w:jc w:val="both"/>
        <w:ind w:firstLine="1306"/>
        <w:spacing w:after="0" w:line="257" w:lineRule="auto"/>
        <w:tabs>
          <w:tab w:leader="none" w:pos="1693"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Section 7.4, Borrowers shall obtain a landlord’s agreement or mortgagee agreement, as applicable, from the lessor of each leased property or mortgagee of owned property with respect to the Books and Records Location any other business location where Collateral with an aggregate value in excess of $1,000,000 is located, which agreement or letter shall be reasonably satisfactory in form and substance to Agent. Borrowers shall timely and fully pay and perform its material obligations under all leases and other agreements with respect to each leased location where any Collateral, or any records related thereto, is or may be located.</w:t>
      </w:r>
    </w:p>
    <w:p>
      <w:pPr>
        <w:spacing w:after="0" w:line="188" w:lineRule="exact"/>
        <w:rPr>
          <w:rFonts w:ascii="Arial" w:cs="Arial" w:eastAsia="Arial" w:hAnsi="Arial"/>
          <w:sz w:val="18"/>
          <w:szCs w:val="18"/>
          <w:color w:val="auto"/>
        </w:rPr>
      </w:pPr>
    </w:p>
    <w:p>
      <w:pPr>
        <w:jc w:val="both"/>
        <w:ind w:firstLine="1306"/>
        <w:spacing w:after="0" w:line="254" w:lineRule="auto"/>
        <w:tabs>
          <w:tab w:leader="none" w:pos="1726"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Borrower shall provide Agent with at least thirty (30) days (or such shorter period as Agent may accept in its sole discretion) prior written notice of its intention to create (or to the extent permitted under this Agreement, acquire) a new Subsidiary. Upon the formation (or to the extent permitted under this Agreement, acquisition) of a new Subsidiary, Borrowers shall promptly (but in any event within ten (10) Business Days)) (i) pledge, have pledged or cause or have caused to be pledged to Agent pursuant to a pledge agreement in form and substance satisfactory to Agent, all of the outstanding shares of equity interests or other equity interests of such new Subsidiary (except to the extent constituting Excluded Property) owned directly or indirectly by any Borrower, along with undated stock or equivalent powers for such certificates, executed in blank; (ii) unless Agent shall agree otherwise in writing, cause the new Subsidiary (other than an Excluded Foreign Subsidiary) to take such other actions (including entering into or joining any Security Documents) as are necessary or advisable in the</w:t>
      </w:r>
    </w:p>
    <w:p>
      <w:pPr>
        <w:spacing w:after="0" w:line="200" w:lineRule="exact"/>
        <w:rPr>
          <w:sz w:val="20"/>
          <w:szCs w:val="20"/>
          <w:color w:val="auto"/>
        </w:rPr>
      </w:pPr>
    </w:p>
    <w:p>
      <w:pPr>
        <w:spacing w:after="0" w:line="242"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40"/>
          </w:cols>
          <w:pgMar w:left="320" w:top="1057" w:right="2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7"/>
          <w:szCs w:val="17"/>
          <w:color w:val="auto"/>
        </w:rPr>
        <w:t>reasonable opinion of Agent in order to grant Agent, acting on behalf of the Lenders, a first priority Lien (subject to Permitted Liens) on all real and personal property of such Subsidiary in existence as of such date and in all after acquired property, which first priority Liens are required to be granted pursuant to this Agreement; (iii) unless Agent shall agree otherwise in writing, cause such new Subsidiary (other than an Excluded Foreign Subsidiary) to either (at the election of Agent) become a Borrower hereunder with joint and several liability for all obligations of Borrowers hereunder and under the other Financing Documents pursuant to a joinder agreement or other similar agreement in form and substance reasonably satisfactory to Agent or to become a Guarantor of the obligations of Borrowers hereunder and under the other Financing Documents pursuant to a guaranty and suretyship agreement in form and substance satisfactory to Agent; and (iv) cause the new Subsidiary (other than Excluded Foreign Subsidiary) to deliver certified copies of such Subsidiary’s certificate or articles of incorporation, together with good standing certificates, by-laws (or other operating agreement or governing documents), resolutions of the Board of Directors or other governing body, approving and authorize the execution and delivery of the Security Documents, incumbency certificates and to execute and/or deliver such other documents and legal opinions or to take such other actions as may be requested by Agent, in each case, in form and substance reasonably satisfactory to Agent (collectively, the “</w:t>
      </w:r>
      <w:r>
        <w:rPr>
          <w:rFonts w:ascii="Arial" w:cs="Arial" w:eastAsia="Arial" w:hAnsi="Arial"/>
          <w:sz w:val="17"/>
          <w:szCs w:val="17"/>
          <w:b w:val="1"/>
          <w:bCs w:val="1"/>
          <w:color w:val="auto"/>
        </w:rPr>
        <w:t>Joinder Requirements</w:t>
      </w:r>
      <w:r>
        <w:rPr>
          <w:rFonts w:ascii="Arial" w:cs="Arial" w:eastAsia="Arial" w:hAnsi="Arial"/>
          <w:sz w:val="17"/>
          <w:szCs w:val="17"/>
          <w:color w:val="auto"/>
        </w:rPr>
        <w:t>”).</w:t>
      </w:r>
    </w:p>
    <w:p>
      <w:pPr>
        <w:spacing w:after="0" w:line="183" w:lineRule="exact"/>
        <w:rPr>
          <w:sz w:val="20"/>
          <w:szCs w:val="20"/>
          <w:color w:val="auto"/>
        </w:rPr>
      </w:pPr>
    </w:p>
    <w:p>
      <w:pPr>
        <w:jc w:val="both"/>
        <w:ind w:left="80" w:firstLine="1306"/>
        <w:spacing w:after="0" w:line="273" w:lineRule="auto"/>
        <w:tabs>
          <w:tab w:leader="none" w:pos="1771"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Following the occurrence and continuation of an Event of Default and the exercise by Agent of any right, option or remedy provided for hereunder, under any Financing Document or at law or in equity, Borrowers shall, promptly upon request of Agent, cause each Excluded Foreign Subsidiary to declare and pay distributions in respect of its capital stock or other equity interest in an amount necessary to ensure that Borrower has an amount of cash and cash equivalents satisfactory to Agent in Deposit Accounts or Securities Accounts located in the United States and, in each case, subject to a first priority perfected security interest in favor of Agent for the ratable benefit of the Lenders;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nothing in this Section 4.11(e) shall require any Excluded Foreign Subsidiary to take any actions prohibited under applicable Law.</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Power of Attorney</w:t>
      </w:r>
      <w:r>
        <w:rPr>
          <w:rFonts w:ascii="Arial" w:cs="Arial" w:eastAsia="Arial" w:hAnsi="Arial"/>
          <w:sz w:val="17"/>
          <w:szCs w:val="17"/>
          <w:color w:val="auto"/>
        </w:rPr>
        <w:t>. Each of the authorized representatives of Agent is hereby irrevocably made, constituted and appointed the true and lawful attorney for Borrowers (without requiring any of them to act as such) with full power of substitution to do the following: (a) endorse the name of Borrowers upon any and all checks, drafts, money orders, and other instruments for the payment of money that are payable to Borrowers and constitute collections on Borrowers’ Accounts; (b) so long as Agent has provided not less than five (5) Business Days’ prior written notice to Borrower to perform the same and Borrower has failed to take such action, execute in the name of Borrowers any schedules, assignments, instruments, documents, and statements that Borrowers are obligated to give Agent under this Agreement; (c) after the occurrence and during the continuance of an Event of Default, take any action Borrowers are required to take under this Agreement; (d) so long as Agent has provided not less than three (3) Business Days’ prior written notice to Borrower to perform the same and Borrower has failed to take such action, do such other and further acts and deeds in the name of Borrowers that Agent may deem necessary or desirable to enforce any Account or other Collateral or perfect Agent’s security interest or Lien in any Collateral; and (e) after the occurrence and during the continuance of an Event of Default, do such other and further acts and deeds in the name of Borrowers that Agent may deem necessary or desirable to enforce its rights with regard to any Account or other Collateral. This power of attorney shall be irrevocable and coupled with an interest.</w:t>
      </w:r>
    </w:p>
    <w:p>
      <w:pPr>
        <w:spacing w:after="0" w:line="18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4.14</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Schedule Updates</w:t>
      </w:r>
      <w:r>
        <w:rPr>
          <w:rFonts w:ascii="Arial" w:cs="Arial" w:eastAsia="Arial" w:hAnsi="Arial"/>
          <w:sz w:val="18"/>
          <w:szCs w:val="18"/>
          <w:color w:val="auto"/>
        </w:rPr>
        <w:t>. Borrower shall, in the event of any information in the Schedules becoming outdated, inaccurate, incomplete or misleading, deliver to Agent, together with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20"/>
          </w:cols>
          <w:pgMar w:left="240" w:top="625" w:right="23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7"/>
          <w:szCs w:val="17"/>
          <w:color w:val="auto"/>
        </w:rPr>
        <w:t xml:space="preserve">next Compliance Certificate delivered with respect to the last month of a fiscal quarter required to be delivered under this Agreement after such event a proposed update to such Schedule correcting all such outdated, inaccurate, incomplete or misleading information; </w:t>
      </w:r>
      <w:r>
        <w:rPr>
          <w:rFonts w:ascii="Arial" w:cs="Arial" w:eastAsia="Arial" w:hAnsi="Arial"/>
          <w:sz w:val="17"/>
          <w:szCs w:val="17"/>
          <w:i w:val="1"/>
          <w:iCs w:val="1"/>
          <w:color w:val="auto"/>
        </w:rPr>
        <w:t>provided, however</w:t>
      </w:r>
      <w:r>
        <w:rPr>
          <w:rFonts w:ascii="Arial" w:cs="Arial" w:eastAsia="Arial" w:hAnsi="Arial"/>
          <w:sz w:val="17"/>
          <w:szCs w:val="17"/>
          <w:color w:val="auto"/>
        </w:rPr>
        <w:t>, (a) with respect to any proposed updates to the Schedules involving Permitted Liens, Permitted Debt or Permitted Investments, Agent will replace the respective Schedule attached hereto with such proposed update only if such updated information is consistent with the definitions of and limitations herein pertaining to Permitted Liens, Permitted Debt or Permitted Investments and (b) with respect to any proposed updates to such Schedule involving other matters, Agent will replace the applicable portion of such Schedule attached hereto with such proposed update upon Agent’s approval thereof.</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Intellectual Property and Licensing</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4" w:lineRule="auto"/>
        <w:tabs>
          <w:tab w:leader="none" w:pos="17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Together with each Compliance Certificate required to be delivered with respect to the last month of a fiscal quarter pursuant to Section 4.1 to the extent (i) Borrower acquires and/or develops any new Registered Intellectual Property, (ii) Borrower enters into or becomes bound by any additional in-bound license or sublicense agreement, any additional exclusive out-bound license or sublicense agreement or other agreement with respect to material rights in Intellectual Property (other than over-the-counter software that is commercially available to the public), or (iii) there occurs any other material change in Borrower’s Registered Intellectual Property, in-bound licenses or sublicenses or exclusive out-bound licenses or sublicenses from that listed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together with such Compliance Certificate, deliver to Agent an updated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reflecting such updated information. With respect to any updates to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involving exclusive out-bound licenses or sublicenses, such licenses shall be consistent with the definitions of and limitations herein pertaining to Permitted Licenses.</w:t>
      </w:r>
    </w:p>
    <w:p>
      <w:pPr>
        <w:spacing w:after="0" w:line="192" w:lineRule="exact"/>
        <w:rPr>
          <w:rFonts w:ascii="Arial" w:cs="Arial" w:eastAsia="Arial" w:hAnsi="Arial"/>
          <w:sz w:val="18"/>
          <w:szCs w:val="18"/>
          <w:color w:val="auto"/>
        </w:rPr>
      </w:pPr>
    </w:p>
    <w:p>
      <w:pPr>
        <w:jc w:val="both"/>
        <w:ind w:firstLine="1305"/>
        <w:spacing w:after="0" w:line="293" w:lineRule="auto"/>
        <w:tabs>
          <w:tab w:leader="none" w:pos="1792"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Borrower obtains any Registered Intellectual Property (other than copyrights, mask works and related applications, which are addressed below), Borrower shall notify Agent quarterly and execute such documents and provide such other information (including, without limitation, copies of applications) and take such other actions as Agent shall request in its good faith business judgment to perfect and maintain a first priority perfected security interest (subject to Permitted Liens) in favor of Agent, for the ratable benefit of Lenders, with respect to such Registered Intellectual Property registered in the United States, at the sole cost of the applicable Borrower, and with respect to such Registered Intellectual Property registered in any jurisdiction located outside of the United States, following the occurrence of a Foreign IP Perfection Event, at the sole cost of the applicable Borrower.</w:t>
      </w:r>
    </w:p>
    <w:p>
      <w:pPr>
        <w:spacing w:after="0" w:line="164" w:lineRule="exact"/>
        <w:rPr>
          <w:rFonts w:ascii="Arial" w:cs="Arial" w:eastAsia="Arial" w:hAnsi="Arial"/>
          <w:sz w:val="16"/>
          <w:szCs w:val="16"/>
          <w:color w:val="auto"/>
        </w:rPr>
      </w:pPr>
    </w:p>
    <w:p>
      <w:pPr>
        <w:jc w:val="both"/>
        <w:ind w:firstLine="1305"/>
        <w:spacing w:after="0" w:line="257" w:lineRule="auto"/>
        <w:tabs>
          <w:tab w:leader="none" w:pos="16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Borrower shall take such commercially reasonable steps (not involving payment of money) as Agent requests to obtain the consent of, or waiver by, any person whose consent or waiver is necessary for (x) all licenses or agreements to be deemed “Collateral” and for Agent to have a security interest in it that might otherwise be restricted or prohibited by Law or by the terms of any such license or agreement, whether now existing or entered into in the future, and (y) Agent to have the ability in the event of a liquidation of any Collateral to dispose of such Collateral in accordance with Agent’s rights and remedies under this Agreement and the other Financing Documents.</w:t>
      </w:r>
    </w:p>
    <w:p>
      <w:pPr>
        <w:spacing w:after="0" w:line="188" w:lineRule="exact"/>
        <w:rPr>
          <w:rFonts w:ascii="Arial" w:cs="Arial" w:eastAsia="Arial" w:hAnsi="Arial"/>
          <w:sz w:val="18"/>
          <w:szCs w:val="18"/>
          <w:color w:val="auto"/>
        </w:rPr>
      </w:pPr>
    </w:p>
    <w:p>
      <w:pPr>
        <w:jc w:val="both"/>
        <w:ind w:firstLine="1305"/>
        <w:spacing w:after="0" w:line="293" w:lineRule="auto"/>
        <w:tabs>
          <w:tab w:leader="none" w:pos="1689" w:val="left"/>
        </w:tabs>
        <w:numPr>
          <w:ilvl w:val="0"/>
          <w:numId w:val="73"/>
        </w:numPr>
        <w:rPr>
          <w:rFonts w:ascii="Arial" w:cs="Arial" w:eastAsia="Arial" w:hAnsi="Arial"/>
          <w:sz w:val="16"/>
          <w:szCs w:val="16"/>
          <w:color w:val="auto"/>
        </w:rPr>
      </w:pPr>
      <w:r>
        <w:rPr>
          <w:rFonts w:ascii="Arial" w:cs="Arial" w:eastAsia="Arial" w:hAnsi="Arial"/>
          <w:sz w:val="16"/>
          <w:szCs w:val="16"/>
          <w:color w:val="auto"/>
        </w:rPr>
        <w:t>Borrower shall own, or be licensed to use or otherwise have the right to use, all Material Intangible Assets. Borrower shall cause all Registered Intellectual Property to be duly and properly registered, filed or issued in the appropriate office and jurisdictions for such registrations, filings or issuances, except where the failure to do so would not reasonably be expected to result in a Material Adverse Effect. Borrower shall at all times conduct its business without material infringement of any Intellectual Property rights of others. Borrower shall (i) protect, defend and maintain the validity and enforceability of its Material Intangible Assets (ii) promptly advise Agent in writing of material infringements of its Material Intangible Assets, or of a material claim of infringement by Borrower on the Intellectual Property rights of others; and (iii) not allow any of Borrower’s Material Intangible Assets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20"/>
          </w:cols>
          <w:pgMar w:left="240" w:top="625"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t>be abandoned, invalidated, forfeited or dedicated to the public or to become unenforceable. Borrower shall not become a party to, nor become bound by, any material license or other agreement with respect to which Borrower is the licensee that prohibits or otherwise restricts Borrower from granting a security interest in Borrower’s interest in such license or agreement or other property.</w:t>
      </w:r>
    </w:p>
    <w:p>
      <w:pPr>
        <w:spacing w:after="0" w:line="181"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4.17</w:t>
      </w:r>
      <w:r>
        <w:rPr>
          <w:sz w:val="20"/>
          <w:szCs w:val="20"/>
          <w:color w:val="auto"/>
        </w:rPr>
        <w:tab/>
      </w:r>
      <w:r>
        <w:rPr>
          <w:rFonts w:ascii="Arial" w:cs="Arial" w:eastAsia="Arial" w:hAnsi="Arial"/>
          <w:sz w:val="16"/>
          <w:szCs w:val="16"/>
          <w:u w:val="single" w:color="auto"/>
          <w:color w:val="auto"/>
        </w:rPr>
        <w:t>Regulatory Covenants</w:t>
      </w:r>
    </w:p>
    <w:p>
      <w:pPr>
        <w:spacing w:after="0" w:line="225" w:lineRule="exact"/>
        <w:rPr>
          <w:sz w:val="20"/>
          <w:szCs w:val="20"/>
          <w:color w:val="auto"/>
        </w:rPr>
      </w:pPr>
    </w:p>
    <w:p>
      <w:pPr>
        <w:jc w:val="both"/>
        <w:ind w:left="80" w:firstLine="1306"/>
        <w:spacing w:after="0" w:line="276" w:lineRule="auto"/>
        <w:tabs>
          <w:tab w:leader="none" w:pos="17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Borrowers shall have, and shall ensure that it and each of its Subsidiaries has, each material Permit and other rights from, and have made all material declarations and filings with, all applicable Governmental Authorities, all self-regulatory authorities and all courts and other tribunals necessary to engage in the ownership, management and operation of the business or the assets of any Borrower and Borrowers shall ensure that no Governmental Authority has taken action to limit, suspend or revoke any such Permit. Borrower shall ensure that all such Permits are valid and in full force and effect and Borrowers are in material compliance with the terms and conditions of all such Permits in all material respects.</w:t>
      </w:r>
    </w:p>
    <w:p>
      <w:pPr>
        <w:spacing w:after="0" w:line="172" w:lineRule="exact"/>
        <w:rPr>
          <w:rFonts w:ascii="Arial" w:cs="Arial" w:eastAsia="Arial" w:hAnsi="Arial"/>
          <w:sz w:val="17"/>
          <w:szCs w:val="17"/>
          <w:color w:val="auto"/>
        </w:rPr>
      </w:pPr>
    </w:p>
    <w:p>
      <w:pPr>
        <w:jc w:val="both"/>
        <w:ind w:left="80" w:firstLine="1306"/>
        <w:spacing w:after="0" w:line="286" w:lineRule="auto"/>
        <w:tabs>
          <w:tab w:leader="none" w:pos="17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Borrower will, and will cause each Subsidiary to, maintain in full force and effect, and free from restrictions, probations, conditions or known conflicts which would materially impair the use or operation of Borrowers’ business and assets, all material Permits necessary under Healthcare Laws to carry on the business of Borrowers and such Subsidiaries as it is conducted on the Closing Date in all material respects.</w:t>
      </w:r>
    </w:p>
    <w:p>
      <w:pPr>
        <w:spacing w:after="0" w:line="165" w:lineRule="exact"/>
        <w:rPr>
          <w:rFonts w:ascii="Arial" w:cs="Arial" w:eastAsia="Arial" w:hAnsi="Arial"/>
          <w:sz w:val="17"/>
          <w:szCs w:val="17"/>
          <w:color w:val="auto"/>
        </w:rPr>
      </w:pPr>
    </w:p>
    <w:p>
      <w:pPr>
        <w:jc w:val="both"/>
        <w:ind w:left="80" w:firstLine="1306"/>
        <w:spacing w:after="0" w:line="302" w:lineRule="auto"/>
        <w:tabs>
          <w:tab w:leader="none" w:pos="180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connection with the development, testing, manufacture, marketing or sale of each and any material Product by any Borrower or any Subsidiary, Borrower shall comply, and shall cause such Subsidiaries to comply, in all material respects with all material Regulatory Required Permits at all times issued by any Governmental Authority, specifically including the FDA, with respect to such development, testing, manufacture, marketing or sales of such Product by Borrower or such Subsidiary as such activities are at any such time being conducted by Borrower or such Subsidiary.</w:t>
      </w:r>
    </w:p>
    <w:p>
      <w:pPr>
        <w:spacing w:after="0" w:line="154" w:lineRule="exact"/>
        <w:rPr>
          <w:rFonts w:ascii="Arial" w:cs="Arial" w:eastAsia="Arial" w:hAnsi="Arial"/>
          <w:sz w:val="16"/>
          <w:szCs w:val="16"/>
          <w:color w:val="auto"/>
        </w:rPr>
      </w:pPr>
    </w:p>
    <w:p>
      <w:pPr>
        <w:jc w:val="both"/>
        <w:ind w:left="80" w:firstLine="1306"/>
        <w:spacing w:after="0" w:line="264" w:lineRule="auto"/>
        <w:tabs>
          <w:tab w:leader="none" w:pos="17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Borrower will, and will cause each of its Subsidiaries to, timely file or caused to be timely filed (after giving effect to any extension duly obtained), all material notifications, reports, submissions, Permit renewals and reports required by Healthcare Laws (which reports will be materially accurate and complete in all respects and not misleading in any respect and shall not remain open or unsettled).</w:t>
      </w:r>
    </w:p>
    <w:p>
      <w:pPr>
        <w:spacing w:after="0" w:line="181" w:lineRule="exact"/>
        <w:rPr>
          <w:rFonts w:ascii="Arial" w:cs="Arial" w:eastAsia="Arial" w:hAnsi="Arial"/>
          <w:sz w:val="18"/>
          <w:szCs w:val="18"/>
          <w:color w:val="auto"/>
        </w:rPr>
      </w:pPr>
    </w:p>
    <w:p>
      <w:pPr>
        <w:jc w:val="both"/>
        <w:ind w:left="80" w:firstLine="1306"/>
        <w:spacing w:after="0" w:line="257" w:lineRule="auto"/>
        <w:tabs>
          <w:tab w:leader="none" w:pos="180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after the Closing Date, Borrower or any Subsidiary determines to manufacture, sell, develop, test or market any new Product or initiate the process to seek any material Regulatory Required Permit other than as contemplated by the Purchase Agreement, Borrower shall deliver prior written notice to Agent of such determination (which shall include a brief description of such Product or Regulatory Required Permit) and, together with delivery of the next Compliance Certificate delivered with respect to the last month of a fiscal quarter, shall provide an updated Schedule 4.17 (and copies of such Permits as Agent may request) reflecting updates related to such determination.</w:t>
      </w:r>
    </w:p>
    <w:p>
      <w:pPr>
        <w:spacing w:after="0" w:line="180" w:lineRule="exact"/>
        <w:rPr>
          <w:sz w:val="20"/>
          <w:szCs w:val="20"/>
          <w:color w:val="auto"/>
        </w:rPr>
      </w:pPr>
    </w:p>
    <w:p>
      <w:pPr>
        <w:ind w:left="3960"/>
        <w:spacing w:after="0"/>
        <w:rPr>
          <w:sz w:val="20"/>
          <w:szCs w:val="20"/>
          <w:color w:val="auto"/>
        </w:rPr>
      </w:pPr>
      <w:r>
        <w:rPr>
          <w:rFonts w:ascii="Arial" w:cs="Arial" w:eastAsia="Arial" w:hAnsi="Arial"/>
          <w:sz w:val="20"/>
          <w:szCs w:val="20"/>
          <w:b w:val="1"/>
          <w:bCs w:val="1"/>
          <w:color w:val="auto"/>
        </w:rPr>
        <w:t>ARTICLE 5- NEGATIVE COVENANTS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Borrower agrees that, so long as any Credit Exposure exists:</w:t>
      </w:r>
    </w:p>
    <w:p>
      <w:pPr>
        <w:spacing w:after="0" w:line="21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Debt; Contingent Obligations</w:t>
      </w:r>
      <w:r>
        <w:rPr>
          <w:rFonts w:ascii="Arial" w:cs="Arial" w:eastAsia="Arial" w:hAnsi="Arial"/>
          <w:sz w:val="16"/>
          <w:szCs w:val="16"/>
          <w:color w:val="auto"/>
        </w:rPr>
        <w:t>. No Borrower will, or will permit any Subsidiary to, directly or indirectly, create, incur, assume, guarantee or otherwise become or remain directly or indirectly liable with respect to, any Debt, except for Permitted Debt. No Borrower will, or will permit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25"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auto"/>
        </w:rPr>
        <w:t>any Subsidiary to, directly or indirectly, create, assume, incur or suffer to exist any Contingent Obligations, except for Permitted Contingent Obligations.</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Liens</w:t>
      </w:r>
      <w:r>
        <w:rPr>
          <w:rFonts w:ascii="Arial" w:cs="Arial" w:eastAsia="Arial" w:hAnsi="Arial"/>
          <w:sz w:val="18"/>
          <w:szCs w:val="18"/>
          <w:color w:val="auto"/>
        </w:rPr>
        <w:t>. No Borrower will, or will permit any Subsidiary to, directly or indirectly, create, assume or suffer to exist any Lien on any asset now owned or hereafter acquired by it, except for Permitted Liens.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Distributions</w:t>
      </w:r>
      <w:r>
        <w:rPr>
          <w:rFonts w:ascii="Arial" w:cs="Arial" w:eastAsia="Arial" w:hAnsi="Arial"/>
          <w:sz w:val="18"/>
          <w:szCs w:val="18"/>
          <w:color w:val="auto"/>
        </w:rPr>
        <w:t>. No Borrower will, or will permit any Subsidiary to, directly or indirectly, declare, order, pay, make or set apart any sum for any Distribution, except for Permitted Distributions.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No Borrower will, or will permit any Subsidiary to, directly or indirectly (a) enter into or assume any agreement (other than the Financing Documents and any agreements for purchase money debt permitted under clause (c) of the definition of Permitted Debt) prohibiting the creation or assumption of any Lien upon its properties or assets, whether now owned or hereafter acquired, or (b) create or otherwise cause or suffer to exist or become effective any consensual encumbrance or restriction of any kind (except as provided by the Financing Documents) on the ability of any Subsidiary to: (i) pay or make Distributions to any Borrower or any Subsidiary; (ii) pay any Debt owed to any Borrower or any Subsidiary; (iii) make loans or advances to any Borrower or any Subsidiary; or (iv) transfer any of its property or assets to any Borrower or any Subsidiary.</w:t>
      </w:r>
    </w:p>
    <w:p>
      <w:pPr>
        <w:spacing w:after="0" w:line="165"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Payments and Modifications of Subordinated Debt</w:t>
      </w:r>
      <w:r>
        <w:rPr>
          <w:rFonts w:ascii="Arial" w:cs="Arial" w:eastAsia="Arial" w:hAnsi="Arial"/>
          <w:sz w:val="16"/>
          <w:szCs w:val="16"/>
          <w:color w:val="auto"/>
        </w:rPr>
        <w:t>. No Borrower will, or will permit any Subsidiary to, directly or indirectly:</w:t>
      </w:r>
    </w:p>
    <w:p>
      <w:pPr>
        <w:spacing w:after="0" w:line="225" w:lineRule="exact"/>
        <w:rPr>
          <w:sz w:val="20"/>
          <w:szCs w:val="20"/>
          <w:color w:val="auto"/>
        </w:rPr>
      </w:pPr>
    </w:p>
    <w:p>
      <w:pPr>
        <w:ind w:firstLine="1305"/>
        <w:spacing w:after="0" w:line="277" w:lineRule="auto"/>
        <w:tabs>
          <w:tab w:leader="none" w:pos="17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pay, make or set aside any amount for payment in respect of Subordinated Debt, except for payments made in full compliance with and expressly permitted under the Subordination Agreement;</w:t>
      </w:r>
    </w:p>
    <w:p>
      <w:pPr>
        <w:spacing w:after="0" w:line="170" w:lineRule="exact"/>
        <w:rPr>
          <w:rFonts w:ascii="Arial" w:cs="Arial" w:eastAsia="Arial" w:hAnsi="Arial"/>
          <w:sz w:val="18"/>
          <w:szCs w:val="18"/>
          <w:color w:val="auto"/>
        </w:rPr>
      </w:pPr>
    </w:p>
    <w:p>
      <w:pPr>
        <w:ind w:firstLine="1305"/>
        <w:spacing w:after="0" w:line="277" w:lineRule="auto"/>
        <w:tabs>
          <w:tab w:leader="none" w:pos="17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 or otherwise modify the terms of any Subordinated Debt, except for amendments or modifications made in full compliance with the Subordination Agreement;</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pay, make or set aside any amount for payment in respect of any Debt hereinafter incurred that, by its terms, or by separate agreement, is subordinated to the Obligations, except for payments made in full compliance with and expressly permitted under the subordination provisions applicable thereto;</w:t>
      </w:r>
    </w:p>
    <w:p>
      <w:pPr>
        <w:spacing w:after="0" w:line="181" w:lineRule="exact"/>
        <w:rPr>
          <w:rFonts w:ascii="Arial" w:cs="Arial" w:eastAsia="Arial" w:hAnsi="Arial"/>
          <w:sz w:val="18"/>
          <w:szCs w:val="18"/>
          <w:color w:val="auto"/>
        </w:rPr>
      </w:pPr>
    </w:p>
    <w:p>
      <w:pPr>
        <w:jc w:val="both"/>
        <w:ind w:firstLine="1305"/>
        <w:spacing w:after="0" w:line="264" w:lineRule="auto"/>
        <w:tabs>
          <w:tab w:leader="none" w:pos="17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declare, pay, make any payment under or in respect of the 2022 Convertible Notes except for: (i) regularly scheduled payments of interest as set forth in the applicable 2022 Convertible Note Documents; and (ii) the issuance of shares of common stock of PTC in connection with any conversion of the 2022 Convertible Notes;</w:t>
      </w:r>
    </w:p>
    <w:p>
      <w:pPr>
        <w:spacing w:after="0" w:line="181" w:lineRule="exact"/>
        <w:rPr>
          <w:rFonts w:ascii="Arial" w:cs="Arial" w:eastAsia="Arial" w:hAnsi="Arial"/>
          <w:sz w:val="18"/>
          <w:szCs w:val="18"/>
          <w:color w:val="auto"/>
        </w:rPr>
      </w:pPr>
    </w:p>
    <w:p>
      <w:pPr>
        <w:jc w:val="both"/>
        <w:ind w:firstLine="1305"/>
        <w:spacing w:after="0" w:line="272" w:lineRule="auto"/>
        <w:tabs>
          <w:tab w:leader="none" w:pos="1784" w:val="left"/>
        </w:tabs>
        <w:numPr>
          <w:ilvl w:val="0"/>
          <w:numId w:val="75"/>
        </w:numPr>
        <w:rPr>
          <w:rFonts w:ascii="Arial" w:cs="Arial" w:eastAsia="Arial" w:hAnsi="Arial"/>
          <w:sz w:val="17"/>
          <w:szCs w:val="17"/>
          <w:color w:val="auto"/>
        </w:rPr>
      </w:pPr>
      <w:r>
        <w:rPr>
          <w:rFonts w:ascii="Arial" w:cs="Arial" w:eastAsia="Arial" w:hAnsi="Arial"/>
          <w:sz w:val="17"/>
          <w:szCs w:val="17"/>
          <w:color w:val="auto"/>
        </w:rPr>
        <w:t>amend or otherwise modify the terms of any such Debt referred to in clauses (a)-(d) above if the effect of such amendment or modification is to (i) increase the interest rate or fees on, or change the manner or timing of payment of, such Debt if in any way adverse to the Agent or the Lenders, (ii) accelerate or shorten the dates upon which payments of principal or interest are due on, or the principal amount of, such Debt, (iii) change in a manner adverse to any Credit Party or Agent any event of default or add or make more restrictive any covenant with respect to such Debt, (iv) change the prepayment or redemption provisions of such Debt or any of the defined terms related thereto in a manner adverse to Agent or the Lenders, (v) solely with respect to Subordinated Debt, change the subordination provisions thereof (or the subordination terms of any guaranty thereof), or (vi) change or amend any other term if such change or amendment would materially increase the obligations of the obligor or confer</w:t>
      </w:r>
    </w:p>
    <w:p>
      <w:pPr>
        <w:spacing w:after="0" w:line="17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additional material rights on the holder of such Debt in a manner adverse to Borrowers, any Subsidiaries, Agent or Lenders. Borrowers shall, prior to entering into any such amendment or modification, deliver to Agent reasonably in advance of the execution thereof, any final or execution form copy thereof.</w:t>
      </w:r>
    </w:p>
    <w:p>
      <w:pPr>
        <w:spacing w:after="0" w:line="124"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5.6</w:t>
      </w:r>
      <w:r>
        <w:rPr>
          <w:sz w:val="20"/>
          <w:szCs w:val="20"/>
          <w:color w:val="auto"/>
        </w:rPr>
        <w:tab/>
      </w:r>
      <w:r>
        <w:rPr>
          <w:rFonts w:ascii="Arial" w:cs="Arial" w:eastAsia="Arial" w:hAnsi="Arial"/>
          <w:sz w:val="16"/>
          <w:szCs w:val="16"/>
          <w:u w:val="single" w:color="auto"/>
          <w:color w:val="auto"/>
        </w:rPr>
        <w:t>Consolidations, Mergers and Sales of Assets; Change in Control</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4" w:lineRule="auto"/>
        <w:tabs>
          <w:tab w:leader="none" w:pos="17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Borrower will, or will permit any Subsidiary to, directly or indirectly consolidate or merge or amalgamate with or into any other Person other than (i) consolidations or mergers among Borrowers where a Borrower is the surviving entity, (ii) consolidations or mergers among a Guarantor and a Borrower so long as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20"/>
          </w:cols>
          <w:pgMar w:left="240" w:top="625" w:right="239" w:bottom="1440" w:gutter="0" w:footer="0" w:header="0"/>
        </w:sectPr>
      </w:pPr>
    </w:p>
    <w:bookmarkStart w:id="63" w:name="page64"/>
    <w:bookmarkEnd w:id="63"/>
    <w:p>
      <w:pPr>
        <w:spacing w:after="0" w:line="277" w:lineRule="auto"/>
        <w:rPr>
          <w:sz w:val="20"/>
          <w:szCs w:val="20"/>
          <w:color w:val="auto"/>
        </w:rPr>
      </w:pPr>
      <w:r>
        <w:rPr>
          <w:rFonts w:ascii="Arial" w:cs="Arial" w:eastAsia="Arial" w:hAnsi="Arial"/>
          <w:sz w:val="18"/>
          <w:szCs w:val="18"/>
          <w:color w:val="auto"/>
        </w:rPr>
        <w:t>Borrower is the surviving entity, (iii) consolidations or mergers among Guarantors where a Guarantor is the surviving entity and (iv) consolidations or mergers among Excluded Foreign Subsidiaries.</w:t>
      </w:r>
    </w:p>
    <w:p>
      <w:pPr>
        <w:spacing w:after="0" w:line="170" w:lineRule="exact"/>
        <w:rPr>
          <w:sz w:val="20"/>
          <w:szCs w:val="20"/>
          <w:color w:val="auto"/>
        </w:rPr>
      </w:pPr>
    </w:p>
    <w:p>
      <w:pPr>
        <w:ind w:left="1760" w:hanging="455"/>
        <w:spacing w:after="0"/>
        <w:tabs>
          <w:tab w:leader="none" w:pos="17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No Borrower will, or will permit any Subsidiary to, directly or indirectly consummate any Asset Dispositions other than Permitted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Asset Dispositions.</w:t>
      </w:r>
    </w:p>
    <w:p>
      <w:pPr>
        <w:spacing w:after="0" w:line="210" w:lineRule="exact"/>
        <w:rPr>
          <w:rFonts w:ascii="Arial" w:cs="Arial" w:eastAsia="Arial" w:hAnsi="Arial"/>
          <w:sz w:val="17"/>
          <w:szCs w:val="17"/>
          <w:color w:val="auto"/>
        </w:rPr>
      </w:pPr>
    </w:p>
    <w:p>
      <w:pPr>
        <w:ind w:left="1680" w:hanging="375"/>
        <w:spacing w:after="0"/>
        <w:tabs>
          <w:tab w:leader="none" w:pos="1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Borrower will suffer or permit to occur any Change in Control.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Purchase of Assets, Investments</w:t>
      </w:r>
      <w:r>
        <w:rPr>
          <w:rFonts w:ascii="Arial" w:cs="Arial" w:eastAsia="Arial" w:hAnsi="Arial"/>
          <w:sz w:val="18"/>
          <w:szCs w:val="18"/>
          <w:color w:val="auto"/>
        </w:rPr>
        <w:t>. No Borrower will, or will permit any Subsidiary to, directly or indirectly (a) acquire, own or make, or enter into any agreement to acquire, own or make, any Investment other than Permitted Investments, (b) without limiting clause (a), acquire or enter into any agreement to acquire any assets other than in the Ordinary Course of Business or as permitted under the definition of Permitted Investments; or (c) engage or enter into any agreement to engage in any joint venture or partnership with any other Person.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 as otherwise disclosed on </w:t>
      </w:r>
      <w:r>
        <w:rPr>
          <w:rFonts w:ascii="Arial" w:cs="Arial" w:eastAsia="Arial" w:hAnsi="Arial"/>
          <w:sz w:val="16"/>
          <w:szCs w:val="16"/>
          <w:u w:val="single" w:color="auto"/>
          <w:color w:val="auto"/>
        </w:rPr>
        <w:t>Schedule 5.8</w:t>
      </w:r>
      <w:r>
        <w:rPr>
          <w:rFonts w:ascii="Arial" w:cs="Arial" w:eastAsia="Arial" w:hAnsi="Arial"/>
          <w:sz w:val="16"/>
          <w:szCs w:val="16"/>
          <w:color w:val="auto"/>
        </w:rPr>
        <w:t>, (b) for Permitted Distributions, (c) for transactions among the Credit Parties that are permitted by the Financing Documents, and (d) for transactions that are disclosed to Agent in advance of being entered into and which contain terms that are no less favorable to the applicable Borrower or any Subsidiary, as the case may be, than those which might be obtained from a third party not an Affiliate of any Credit Party, no Borrower will, or will permit any Subsidiary to, directly or indirectly, enter into or permit to exist any transaction (including the purchase, sale, lease or exchange of any property or the rendering of any service) with any Affiliate of any Borrower.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Modification of Organizational Documents</w:t>
      </w:r>
      <w:r>
        <w:rPr>
          <w:rFonts w:ascii="Arial" w:cs="Arial" w:eastAsia="Arial" w:hAnsi="Arial"/>
          <w:sz w:val="18"/>
          <w:szCs w:val="18"/>
          <w:color w:val="auto"/>
        </w:rPr>
        <w:t>. No Borrower will, or will permit any Subsidiary to, directly or indirectly, amend or otherwise modify any Organizational Documents of such Person, except for Permitted Modifications.</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6"/>
          <w:szCs w:val="16"/>
          <w:u w:val="single" w:color="auto"/>
          <w:color w:val="auto"/>
        </w:rPr>
        <w:t>Modification of Certain Agreements; Intercompany Receivables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88" w:lineRule="auto"/>
        <w:tabs>
          <w:tab w:leader="none" w:pos="1792"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 Borrower will, or will permit any Subsidiary to, directly or indirectly, amend or otherwise modify any Material Contract, which amendment or modification in any case: (i) is contrary to the terms of this Agreement or any other Financing Document in any material respect; (ii) would reasonably be expected to be materially adverse to the rights, interests or privileges of Agent or the Lenders or their ability to enforce the same; or</w:t>
      </w:r>
    </w:p>
    <w:p>
      <w:pPr>
        <w:jc w:val="both"/>
        <w:ind w:left="80" w:firstLine="9"/>
        <w:spacing w:after="0" w:line="254" w:lineRule="auto"/>
        <w:tabs>
          <w:tab w:leader="none" w:pos="4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would reasonably be expected, individually or in the aggregate, to have a Material Adverse Effect. Each Borrower shall, prior to entering into any amendment or other modification of any of the foregoing documents, deliver to Agent reasonably in advance of the execution thereof, any final or execution form copy of amendments or other modifications to such documents, and such Borrower agrees not to take, nor permit any of its Subsidiaries to take, any such action with respect to any such documents without obtaining such approval from Agent.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25" w:right="239" w:bottom="1440" w:gutter="0" w:footer="0" w:header="0"/>
        </w:sectPr>
      </w:pPr>
    </w:p>
    <w:bookmarkStart w:id="64" w:name="page65"/>
    <w:bookmarkEnd w:id="64"/>
    <w:p>
      <w:pPr>
        <w:jc w:val="both"/>
        <w:ind w:left="80" w:firstLine="1306"/>
        <w:spacing w:after="0" w:line="264" w:lineRule="auto"/>
        <w:tabs>
          <w:tab w:leader="none" w:pos="1784"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Borrower will, or will permit any Credit Party to, directly or indirectly forgive, terminate, or settle, compromise or reduce in any material respect the amount due to such Credit Party in respect of any Intercompany Receivable or to delay any material payment that is scheduled in respect thereof without the prior consent of Agent.</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xml:space="preserve">. No Borrower will, or will permit any Subsidiary to, directly or indirectly, engage in any line of business other than those businesses engaged in on the Closing Date and described on </w:t>
      </w:r>
      <w:r>
        <w:rPr>
          <w:rFonts w:ascii="Arial" w:cs="Arial" w:eastAsia="Arial" w:hAnsi="Arial"/>
          <w:sz w:val="16"/>
          <w:szCs w:val="16"/>
          <w:u w:val="single" w:color="auto"/>
          <w:color w:val="auto"/>
        </w:rPr>
        <w:t>Schedule 5.11</w:t>
      </w:r>
      <w:r>
        <w:rPr>
          <w:rFonts w:ascii="Arial" w:cs="Arial" w:eastAsia="Arial" w:hAnsi="Arial"/>
          <w:sz w:val="16"/>
          <w:szCs w:val="16"/>
          <w:color w:val="auto"/>
        </w:rPr>
        <w:t xml:space="preserve"> and businesses reasonably related thereto. No Borrower will, or will permit any Subsidiary to, other than in the Ordinary Course of Business, change in any material respect its normal billing payment and reimbursement policies and procedures with respect to its Accounts (including, without limitation, the amount and timing of finance charges, fees and write-offs).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Foreign Subsidiaries</w:t>
      </w:r>
      <w:r>
        <w:rPr>
          <w:rFonts w:ascii="Arial" w:cs="Arial" w:eastAsia="Arial" w:hAnsi="Arial"/>
          <w:sz w:val="18"/>
          <w:szCs w:val="18"/>
          <w:color w:val="auto"/>
        </w:rPr>
        <w:t>. No Borrower will, or will permit any Subsidiary to, directly or indirectly: (a) make any Investment in an Excluded Foreign Subsidiary, other than Investments permitted pursuant to clause (i) of the definition of Permitted Investment, (b) enter into any license with an Excluded Foreign Subsidiary, other than a Permitted License or (c) transfer ownership of any Collateral to an Excluded Foreign Subsidiary or, except in the Ordinary Course of Business, move any Collateral to a location outside of the United States.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Limitation on Sale and Leaseback Transactions</w:t>
      </w:r>
      <w:r>
        <w:rPr>
          <w:rFonts w:ascii="Arial" w:cs="Arial" w:eastAsia="Arial" w:hAnsi="Arial"/>
          <w:sz w:val="17"/>
          <w:szCs w:val="17"/>
          <w:color w:val="auto"/>
        </w:rPr>
        <w:t>. No Borrower will, or will permit any Subsidiary to, directly or indirectly, enter into any arrangement with any Person whereby, in a substantially contemporaneous transaction, any Borrower or any Subsidiaries sells or transfers all or substantially all of its right, title and interest in an asset and, in connection therewith, acquires or leases back the right to use such asset.</w:t>
      </w:r>
    </w:p>
    <w:p>
      <w:pPr>
        <w:spacing w:after="0" w:line="16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6"/>
          <w:szCs w:val="16"/>
          <w:u w:val="single" w:color="auto"/>
          <w:color w:val="auto"/>
        </w:rPr>
        <w:t>Deposit Accounts and Securities Accounts; Payroll and Benefits Accounts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79" w:lineRule="auto"/>
        <w:tabs>
          <w:tab w:leader="none" w:pos="1792"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for Excluded Accounts, no Borrower will, or will permit any Subsidiary to, directly or indirectly, establish any new Deposit Account or Securities Account without prior written notice to Agent, and unless Agent, such Borrower or such Subsidiary and the bank, financial institution or securities intermediary at which the account is to be opened enter into a Deposit Account Control Agreement or Securities Account Control Agreement (as applicable) prior to or concurrently with the establishment of such Deposit Account or Securities Account.</w:t>
      </w:r>
    </w:p>
    <w:p>
      <w:pPr>
        <w:spacing w:after="0" w:line="171" w:lineRule="exact"/>
        <w:rPr>
          <w:rFonts w:ascii="Arial" w:cs="Arial" w:eastAsia="Arial" w:hAnsi="Arial"/>
          <w:sz w:val="17"/>
          <w:szCs w:val="17"/>
          <w:color w:val="auto"/>
        </w:rPr>
      </w:pPr>
    </w:p>
    <w:p>
      <w:pPr>
        <w:jc w:val="both"/>
        <w:ind w:left="80" w:firstLine="1306"/>
        <w:spacing w:after="0" w:line="264" w:lineRule="auto"/>
        <w:tabs>
          <w:tab w:leader="none" w:pos="17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As of the Closing Date and each date the Compliance Certificate is required to be delivered pursuant to Section 4.1 hereof, Borrowers represent and warrant that </w:t>
      </w: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lists all of the Deposit Accounts and Securities Accounts of each Borrower. The provisions of this Section requiring Deposit Account Control Agreements shall not apply to Excluded Accounts.</w:t>
      </w:r>
    </w:p>
    <w:p>
      <w:pPr>
        <w:spacing w:after="0" w:line="177" w:lineRule="exact"/>
        <w:rPr>
          <w:rFonts w:ascii="Arial" w:cs="Arial" w:eastAsia="Arial" w:hAnsi="Arial"/>
          <w:sz w:val="18"/>
          <w:szCs w:val="18"/>
          <w:color w:val="auto"/>
        </w:rPr>
      </w:pPr>
    </w:p>
    <w:p>
      <w:pPr>
        <w:jc w:val="both"/>
        <w:ind w:left="80" w:firstLine="1306"/>
        <w:spacing w:after="0" w:line="272" w:lineRule="auto"/>
        <w:tabs>
          <w:tab w:leader="none" w:pos="17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At all times that any Obligations remain outstanding following the date that is thirty (30) days following the Closing Date (the “</w:t>
      </w:r>
      <w:r>
        <w:rPr>
          <w:rFonts w:ascii="Arial" w:cs="Arial" w:eastAsia="Arial" w:hAnsi="Arial"/>
          <w:sz w:val="17"/>
          <w:szCs w:val="17"/>
          <w:b w:val="1"/>
          <w:bCs w:val="1"/>
          <w:color w:val="auto"/>
        </w:rPr>
        <w:t>Post-Closing Payroll Account Period</w:t>
      </w:r>
      <w:r>
        <w:rPr>
          <w:rFonts w:ascii="Arial" w:cs="Arial" w:eastAsia="Arial" w:hAnsi="Arial"/>
          <w:sz w:val="17"/>
          <w:szCs w:val="17"/>
          <w:color w:val="auto"/>
        </w:rPr>
        <w:t>”), Borrower shall maintain one or more separate Deposit Accounts to hold any and all amounts to be used for payroll,</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taxes and other employee wage and benefit payments, and shall not commingle any monies allocated for such purposes with funds in any other Deposit Account. Without limiting the foregoing, to the extent that any Deposit Account that is subject to a Deposit Account Control Agreement holds any amounts to be used for payroll, payroll taxes and other employee wage and benefit payments (collectively, “</w:t>
      </w:r>
      <w:r>
        <w:rPr>
          <w:rFonts w:ascii="Arial" w:cs="Arial" w:eastAsia="Arial" w:hAnsi="Arial"/>
          <w:sz w:val="17"/>
          <w:szCs w:val="17"/>
          <w:b w:val="1"/>
          <w:bCs w:val="1"/>
          <w:color w:val="auto"/>
        </w:rPr>
        <w:t>Payroll Amounts</w:t>
      </w:r>
      <w:r>
        <w:rPr>
          <w:rFonts w:ascii="Arial" w:cs="Arial" w:eastAsia="Arial" w:hAnsi="Arial"/>
          <w:sz w:val="17"/>
          <w:szCs w:val="17"/>
          <w:color w:val="auto"/>
        </w:rPr>
        <w:t>”) during the Post-Closing Payroll Account Period, Agent agrees that, solely with respect to such Post-Closing Payroll Account Period, upon its exercise of remedies following an Event of Default during such period, it will not direct any Payroll Amounts (that have been reasonably identified by Borrower to Agent as such) to be disposed of other than to pay the applicable payroll, payroll taxes and other employee wage and benefit payments obligations.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057" w:right="239" w:bottom="1440" w:gutter="0" w:footer="0" w:header="0"/>
        </w:sectPr>
      </w:pPr>
    </w:p>
    <w:bookmarkStart w:id="65" w:name="page66"/>
    <w:bookmarkEnd w:id="65"/>
    <w:p>
      <w:pPr>
        <w:jc w:val="both"/>
        <w:ind w:firstLine="648"/>
        <w:spacing w:after="0" w:line="284"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Compliance with Anti-Terrorism Laws</w:t>
      </w:r>
      <w:r>
        <w:rPr>
          <w:rFonts w:ascii="Arial" w:cs="Arial" w:eastAsia="Arial" w:hAnsi="Arial"/>
          <w:sz w:val="16"/>
          <w:szCs w:val="16"/>
          <w:color w:val="auto"/>
        </w:rPr>
        <w:t>. Agent hereby notifies Borrowers that pursuant to the requirements of Anti-Terrorism Laws, and Agent’s policies and practices, Agent is required to obtain, verify and record certain information and documentation that identifies Borrowers and their principals, which information includes the name and address of each Borrower and its principals and such other information that will allow Agent to identify such party in accordance with Anti-Terrorism Laws. No Borrower will, or will permit any Subsidiary to, directly or indirectly, knowingly enter into any Material Contracts with any Blocked Person or any Person listed on the OFAC Lists. Each Borrower shall immediately notify Agent if such Borrower has knowledge that any Borrower, any additional Credit Party or any of their respective Affiliates or agents acting or benefiting in any capacity in connection with the transactions contemplated by this Agreement is or becomes a Blocked Person or (a) is convicted on, (b) pleads nolo contendere to, (c) is indicted on, or</w:t>
      </w:r>
    </w:p>
    <w:p>
      <w:pPr>
        <w:spacing w:after="0" w:line="3" w:lineRule="exact"/>
        <w:rPr>
          <w:sz w:val="20"/>
          <w:szCs w:val="20"/>
          <w:color w:val="auto"/>
        </w:rPr>
      </w:pPr>
    </w:p>
    <w:p>
      <w:pPr>
        <w:jc w:val="both"/>
        <w:ind w:firstLine="8"/>
        <w:spacing w:after="0" w:line="270" w:lineRule="auto"/>
        <w:tabs>
          <w:tab w:leader="none" w:pos="284" w:val="left"/>
        </w:tabs>
        <w:numPr>
          <w:ilvl w:val="0"/>
          <w:numId w:val="82"/>
        </w:numPr>
        <w:rPr>
          <w:rFonts w:ascii="Arial" w:cs="Arial" w:eastAsia="Arial" w:hAnsi="Arial"/>
          <w:sz w:val="17"/>
          <w:szCs w:val="17"/>
          <w:color w:val="auto"/>
        </w:rPr>
      </w:pPr>
      <w:r>
        <w:rPr>
          <w:rFonts w:ascii="Arial" w:cs="Arial" w:eastAsia="Arial" w:hAnsi="Arial"/>
          <w:sz w:val="17"/>
          <w:szCs w:val="17"/>
          <w:color w:val="auto"/>
        </w:rPr>
        <w:t>is arraigned and held over on charges involving money laundering or predicate crimes to money laundering. No Borrower will, or will permit any Subsidiary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Change in Accounting</w:t>
      </w:r>
      <w:r>
        <w:rPr>
          <w:rFonts w:ascii="Arial" w:cs="Arial" w:eastAsia="Arial" w:hAnsi="Arial"/>
          <w:sz w:val="18"/>
          <w:szCs w:val="18"/>
          <w:color w:val="auto"/>
        </w:rPr>
        <w:t>. No Borrower shall, and no Borrower shall suffer or permit any of its Subsidiaries to, (a) make any significant change in accounting treatment or reporting practices, except as required by GAAP or (b) change the fiscal year or method for determining fiscal quarters of any Credit Party or of any consolidated Subsidiary of any Credit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 FINANCIAL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Minimum Net Product Revenue</w:t>
      </w:r>
      <w:r>
        <w:rPr>
          <w:rFonts w:ascii="Arial" w:cs="Arial" w:eastAsia="Arial" w:hAnsi="Arial"/>
          <w:sz w:val="18"/>
          <w:szCs w:val="18"/>
          <w:color w:val="auto"/>
        </w:rPr>
        <w:t>. Commencing with the Defined Period ending on December 31, 2017, Borrower shall not permit its consolidated Net Product Revenue for such Defined Period and for each Defined Period ending on the last day of a fiscal quarter thereafter, to be less than (a) for a Defined Period ending prior to the Term Loan Tranche 2 Funding Date, $100,000,000 or (b) for a Defined Period ending on or after the Term Loan Tranche 2 Funding Date, $120,000,000. A breach of a financial covenant contained in this Section 6.1 shall be deemed to have occurred as of any date of determination by Agent or as of the last day of any specified Defined Period, regardless of when the financial statements reflecting such breach are delivered to Agent.</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Evidence of Compliance</w:t>
      </w:r>
      <w:r>
        <w:rPr>
          <w:rFonts w:ascii="Arial" w:cs="Arial" w:eastAsia="Arial" w:hAnsi="Arial"/>
          <w:sz w:val="18"/>
          <w:szCs w:val="18"/>
          <w:color w:val="auto"/>
        </w:rPr>
        <w:t>. Borrowers shall furnish to Agent, as required by Section 4.1, a Compliance Certificate as evidence of (a) the monthly cash and cash equivalents of Borrowers and their Consolidated Subsidiaries, (b) Borrowers’ compliance with the covenants in this Article, as applicable and (c) that no Event of Default specified in this Article has occurred. The Compliance Certificate shall include, without limitation, (i) a statement and report, in form and substance reasonably satisfactory to Agent, detailing Borrowers’ calculations, and (ii) if requested by Agent, back-up documentation (including, without limitation, bank statements, invoices, receipts and other evidence of costs incurred during such quarter as Agent shall reasonably require) evidencing the propriety of the calculations.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CONDITIONS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Conditions to Closing</w:t>
      </w:r>
      <w:r>
        <w:rPr>
          <w:rFonts w:ascii="Arial" w:cs="Arial" w:eastAsia="Arial" w:hAnsi="Arial"/>
          <w:sz w:val="16"/>
          <w:szCs w:val="16"/>
          <w:color w:val="auto"/>
        </w:rPr>
        <w:t xml:space="preserve">. The obligation of each Lender to make the initial Loans on the Closing Date shall be subject to the receipt by Agent of each agreement, document and instrument set forth on the closing checklist prepared by Agent or its counsel and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each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20"/>
          </w:cols>
          <w:pgMar w:left="240" w:top="625" w:right="239" w:bottom="1440" w:gutter="0" w:footer="0" w:header="0"/>
        </w:sectPr>
      </w:pPr>
    </w:p>
    <w:bookmarkStart w:id="66" w:name="page67"/>
    <w:bookmarkEnd w:id="66"/>
    <w:p>
      <w:pPr>
        <w:spacing w:after="0" w:line="277" w:lineRule="auto"/>
        <w:rPr>
          <w:sz w:val="20"/>
          <w:szCs w:val="20"/>
          <w:color w:val="auto"/>
        </w:rPr>
      </w:pPr>
      <w:r>
        <w:rPr>
          <w:rFonts w:ascii="Arial" w:cs="Arial" w:eastAsia="Arial" w:hAnsi="Arial"/>
          <w:sz w:val="18"/>
          <w:szCs w:val="18"/>
          <w:color w:val="auto"/>
        </w:rPr>
        <w:t>in form and substance reasonably satisfactory to Agent, and such other closing deliverables reasonably requested by Agent and Lenders, and to the satisfaction of the following conditions precedent, each to the satisfaction of Agent and Lenders in their reasonable discretion:</w:t>
      </w:r>
    </w:p>
    <w:p>
      <w:pPr>
        <w:spacing w:after="0" w:line="170" w:lineRule="exact"/>
        <w:rPr>
          <w:sz w:val="20"/>
          <w:szCs w:val="20"/>
          <w:color w:val="auto"/>
        </w:rPr>
      </w:pPr>
    </w:p>
    <w:p>
      <w:pPr>
        <w:ind w:left="1760" w:hanging="374"/>
        <w:spacing w:after="0"/>
        <w:tabs>
          <w:tab w:leader="none" w:pos="1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payment of all fees, expenses and other amounts due and payable under each Financing Document; and</w:t>
      </w:r>
    </w:p>
    <w:p>
      <w:pPr>
        <w:spacing w:after="0" w:line="225" w:lineRule="exact"/>
        <w:rPr>
          <w:rFonts w:ascii="Arial" w:cs="Arial" w:eastAsia="Arial" w:hAnsi="Arial"/>
          <w:sz w:val="18"/>
          <w:szCs w:val="18"/>
          <w:color w:val="auto"/>
        </w:rPr>
      </w:pPr>
    </w:p>
    <w:p>
      <w:pPr>
        <w:ind w:left="80" w:right="20" w:firstLine="1306"/>
        <w:spacing w:after="0" w:line="308" w:lineRule="auto"/>
        <w:tabs>
          <w:tab w:leader="none" w:pos="1872" w:val="left"/>
        </w:tabs>
        <w:numPr>
          <w:ilvl w:val="0"/>
          <w:numId w:val="83"/>
        </w:numPr>
        <w:rPr>
          <w:rFonts w:ascii="Arial" w:cs="Arial" w:eastAsia="Arial" w:hAnsi="Arial"/>
          <w:sz w:val="17"/>
          <w:szCs w:val="17"/>
          <w:color w:val="auto"/>
        </w:rPr>
      </w:pPr>
      <w:r>
        <w:rPr>
          <w:rFonts w:ascii="Arial" w:cs="Arial" w:eastAsia="Arial" w:hAnsi="Arial"/>
          <w:sz w:val="17"/>
          <w:szCs w:val="17"/>
          <w:color w:val="auto"/>
        </w:rPr>
        <w:t>since December 31, 2016, the absence of any material adverse change in any aspect of the business, operations, properties, or financial condition of any Credit Party, or any event or condition which would reasonably be expected to result in such a material adverse change.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Lender, by delivering its signature page to this Agreement, shall be deemed to have acknowledged receipt of, and consented to and approved, each Financing Document, each additional Operative Document and each other document, agreement and/or instrument required to be approved by Agent, Required Lenders or Lenders, as applicable, on the Closing Date.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Each Loan</w:t>
      </w:r>
      <w:r>
        <w:rPr>
          <w:rFonts w:ascii="Arial" w:cs="Arial" w:eastAsia="Arial" w:hAnsi="Arial"/>
          <w:sz w:val="18"/>
          <w:szCs w:val="18"/>
          <w:color w:val="auto"/>
        </w:rPr>
        <w:t>. The obligation of the Lenders to make a Loan or an advance in respect of any Loan, is subject to the satisfaction of the following additional conditions:</w:t>
      </w:r>
    </w:p>
    <w:p>
      <w:pPr>
        <w:spacing w:after="0" w:line="170" w:lineRule="exact"/>
        <w:rPr>
          <w:sz w:val="20"/>
          <w:szCs w:val="20"/>
          <w:color w:val="auto"/>
        </w:rPr>
      </w:pPr>
    </w:p>
    <w:p>
      <w:pPr>
        <w:ind w:left="1840" w:hanging="454"/>
        <w:spacing w:after="0"/>
        <w:tabs>
          <w:tab w:leader="none" w:pos="18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fact that, immediately before and after such advance or issuance, no Default or Event of Default shall have occurred and be</w:t>
      </w: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jc w:val="both"/>
        <w:ind w:left="80" w:firstLine="1306"/>
        <w:spacing w:after="0" w:line="264" w:lineRule="auto"/>
        <w:tabs>
          <w:tab w:leader="none" w:pos="17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Loans made on the Closing Date, the fact that the representations and warranties of each Credit Party contained in the Financing Documents shall be true, correct and complete on and as of the Closing Date, except to the extent that any such representation or warranty relates to a specific date in which case such representation or warranty shall be true and correct as of such earlier date;</w:t>
      </w:r>
    </w:p>
    <w:p>
      <w:pPr>
        <w:spacing w:after="0" w:line="181" w:lineRule="exact"/>
        <w:rPr>
          <w:rFonts w:ascii="Arial" w:cs="Arial" w:eastAsia="Arial" w:hAnsi="Arial"/>
          <w:sz w:val="18"/>
          <w:szCs w:val="18"/>
          <w:color w:val="auto"/>
        </w:rPr>
      </w:pPr>
    </w:p>
    <w:p>
      <w:pPr>
        <w:jc w:val="both"/>
        <w:ind w:left="80" w:firstLine="1306"/>
        <w:spacing w:after="0" w:line="257" w:lineRule="auto"/>
        <w:tabs>
          <w:tab w:leader="none" w:pos="1756"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Loans made after the Closing Date, the fact that the representations and warranties of each Credit Party contained in the Financing Documents shall be true, correct and complete in all material respects on and as of the date of such borrowing or issuance, except to the extent that any such representation or warranty relates to a specific date in which case such representation or warranty shall be true and correct in all material respects as of such earlier date; provided, however, in each case, such materiality qualifier shall not be applicable to any representations and warranties that already are qualified or modified by materiality in the text thereof;</w:t>
      </w:r>
    </w:p>
    <w:p>
      <w:pPr>
        <w:spacing w:after="0" w:line="188" w:lineRule="exact"/>
        <w:rPr>
          <w:rFonts w:ascii="Arial" w:cs="Arial" w:eastAsia="Arial" w:hAnsi="Arial"/>
          <w:sz w:val="18"/>
          <w:szCs w:val="18"/>
          <w:color w:val="auto"/>
        </w:rPr>
      </w:pPr>
    </w:p>
    <w:p>
      <w:pPr>
        <w:jc w:val="both"/>
        <w:ind w:left="80" w:firstLine="1306"/>
        <w:spacing w:after="0" w:line="264" w:lineRule="auto"/>
        <w:tabs>
          <w:tab w:leader="none" w:pos="176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fact that no change in the financial condition, properties, business, or operations of Borrowers or any other Credit Party shall have occurred and be continuing with respect to Borrowers or any Credit Party since the date of this Agreement and be reasonably likely to result in a Material Adverse Effect;</w:t>
      </w:r>
    </w:p>
    <w:p>
      <w:pPr>
        <w:spacing w:after="0" w:line="181" w:lineRule="exact"/>
        <w:rPr>
          <w:rFonts w:ascii="Arial" w:cs="Arial" w:eastAsia="Arial" w:hAnsi="Arial"/>
          <w:sz w:val="18"/>
          <w:szCs w:val="18"/>
          <w:color w:val="auto"/>
        </w:rPr>
      </w:pPr>
    </w:p>
    <w:p>
      <w:pPr>
        <w:ind w:left="1800" w:hanging="414"/>
        <w:spacing w:after="0"/>
        <w:tabs>
          <w:tab w:leader="none" w:pos="1800" w:val="left"/>
        </w:tabs>
        <w:numPr>
          <w:ilvl w:val="1"/>
          <w:numId w:val="85"/>
        </w:numPr>
        <w:rPr>
          <w:rFonts w:ascii="Arial" w:cs="Arial" w:eastAsia="Arial" w:hAnsi="Arial"/>
          <w:sz w:val="16"/>
          <w:szCs w:val="16"/>
          <w:color w:val="auto"/>
        </w:rPr>
      </w:pPr>
      <w:r>
        <w:rPr>
          <w:rFonts w:ascii="Arial" w:cs="Arial" w:eastAsia="Arial" w:hAnsi="Arial"/>
          <w:sz w:val="16"/>
          <w:szCs w:val="16"/>
          <w:color w:val="auto"/>
        </w:rPr>
        <w:t>in the case of any borrowing of the Term Loan Tranche 2, Agent has received a duly executed Notice of Borrowing at least fifteen</w:t>
      </w:r>
    </w:p>
    <w:p>
      <w:pPr>
        <w:spacing w:after="0" w:line="46" w:lineRule="exact"/>
        <w:rPr>
          <w:rFonts w:ascii="Arial" w:cs="Arial" w:eastAsia="Arial" w:hAnsi="Arial"/>
          <w:sz w:val="16"/>
          <w:szCs w:val="16"/>
          <w:color w:val="auto"/>
        </w:rPr>
      </w:pPr>
    </w:p>
    <w:p>
      <w:pPr>
        <w:ind w:left="440" w:hanging="351"/>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days prior to such proposed borrowing;</w:t>
      </w:r>
    </w:p>
    <w:p>
      <w:pPr>
        <w:spacing w:after="0" w:line="210" w:lineRule="exact"/>
        <w:rPr>
          <w:rFonts w:ascii="Arial" w:cs="Arial" w:eastAsia="Arial" w:hAnsi="Arial"/>
          <w:sz w:val="18"/>
          <w:szCs w:val="18"/>
          <w:color w:val="auto"/>
        </w:rPr>
      </w:pPr>
    </w:p>
    <w:p>
      <w:pPr>
        <w:jc w:val="both"/>
        <w:ind w:left="80" w:firstLine="1306"/>
        <w:spacing w:after="0" w:line="286" w:lineRule="auto"/>
        <w:tabs>
          <w:tab w:leader="none" w:pos="1756" w:val="left"/>
        </w:tabs>
        <w:numPr>
          <w:ilvl w:val="1"/>
          <w:numId w:val="86"/>
        </w:numPr>
        <w:rPr>
          <w:rFonts w:ascii="Arial" w:cs="Arial" w:eastAsia="Arial" w:hAnsi="Arial"/>
          <w:sz w:val="17"/>
          <w:szCs w:val="17"/>
          <w:color w:val="auto"/>
        </w:rPr>
      </w:pPr>
      <w:r>
        <w:rPr>
          <w:rFonts w:ascii="Arial" w:cs="Arial" w:eastAsia="Arial" w:hAnsi="Arial"/>
          <w:sz w:val="17"/>
          <w:szCs w:val="17"/>
          <w:color w:val="auto"/>
        </w:rPr>
        <w:t>in the case of any borrowing of the Term Loan Tranche 2, Agent has received a Compliance Certificate delivered in accordance with Section 4.1, and such other documentation and information as Agent may reasonably request, evidencing to Agent’s reasonable satisfaction that Borrower’s Net Product Revenue for the twelve (12) month period immediately preceding such date is greater than or equal to $120,000,000; and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25" w:right="239" w:bottom="1440" w:gutter="0" w:footer="0" w:header="0"/>
        </w:sectPr>
      </w:pPr>
    </w:p>
    <w:bookmarkStart w:id="67" w:name="page68"/>
    <w:bookmarkEnd w:id="67"/>
    <w:p>
      <w:pPr>
        <w:ind w:left="80" w:right="20" w:firstLine="1306"/>
        <w:spacing w:after="0" w:line="277" w:lineRule="auto"/>
        <w:tabs>
          <w:tab w:leader="none" w:pos="18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any borrowing of the Term Loan Tranche 2, Agent shall have received such document, agreement and/or instrument, opinions and certificates as it may have reasonably requested prior to funding.</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giving of a Notice of Borrowing hereunder and each acceptance by any Borrower of the proceeds of any Loan made hereunder shall be deemed to be (y) a representation and warranty by each Borrower on the date of such notice or acceptance as to the satisfaction of the conditions specified in this Section 7.2, and (z) a restatement by each Borrower that each and every one of the representations made by it in any of the Financing Documents is true and correct as of such date (except to the extent that such representations and warranties expressly relate solely to an earlier date).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Searches</w:t>
      </w:r>
      <w:r>
        <w:rPr>
          <w:rFonts w:ascii="Arial" w:cs="Arial" w:eastAsia="Arial" w:hAnsi="Arial"/>
          <w:sz w:val="16"/>
          <w:szCs w:val="16"/>
          <w:color w:val="auto"/>
        </w:rPr>
        <w:t>. Before the Closing Date, and thereafter (as and when determined by Agent in its discretion), Agent shall have the right to perform, all at Borrowers’ reasonable expense, the searches described in clauses (a), (b), and (c) below against Borrowers and any other Credit Party, the results of which are to be consistent with Borrowers’ representations and warranties under this Agreement and the satisfactory results of which shall be a condition precedent to all advances of Loan proceeds: (a) UCC searches with the Secretary of State of the jurisdiction in which the applicable Person is organized; (b) judgment, pending litigation, federal tax lien, personal property tax lien, and corporate and partnership tax lien searches, in each jurisdiction searched under clause (a) above; and (c) searches of applicable corporate, limited liability company, partnership and related records to confirm the continued existence, organization and good standing of the applicable Person and the exact legal name under which such Person is organized.</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Post-Closing Requirements</w:t>
      </w:r>
      <w:r>
        <w:rPr>
          <w:rFonts w:ascii="Arial" w:cs="Arial" w:eastAsia="Arial" w:hAnsi="Arial"/>
          <w:sz w:val="18"/>
          <w:szCs w:val="18"/>
          <w:color w:val="auto"/>
        </w:rPr>
        <w:t xml:space="preserve">. Borrowers shall complete each of the post-closing obligations and/or provide to Agent each of the documents, instruments, agreements and information listed on </w:t>
      </w:r>
      <w:r>
        <w:rPr>
          <w:rFonts w:ascii="Arial" w:cs="Arial" w:eastAsia="Arial" w:hAnsi="Arial"/>
          <w:sz w:val="18"/>
          <w:szCs w:val="18"/>
          <w:u w:val="single" w:color="auto"/>
          <w:color w:val="auto"/>
        </w:rPr>
        <w:t>Schedule 7.4</w:t>
      </w:r>
      <w:r>
        <w:rPr>
          <w:rFonts w:ascii="Arial" w:cs="Arial" w:eastAsia="Arial" w:hAnsi="Arial"/>
          <w:sz w:val="18"/>
          <w:szCs w:val="18"/>
          <w:color w:val="auto"/>
        </w:rPr>
        <w:t xml:space="preserve"> attached hereto on or before the date set forth for each such item thereon, each of which shall be completed or provided in form and substance reasonably satisfactory to Agent.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 RESERVED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SECURITY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9.1 </w:t>
      </w:r>
      <w:r>
        <w:rPr>
          <w:rFonts w:ascii="Arial" w:cs="Arial" w:eastAsia="Arial" w:hAnsi="Arial"/>
          <w:sz w:val="17"/>
          <w:szCs w:val="17"/>
          <w:u w:val="single" w:color="auto"/>
          <w:color w:val="auto"/>
        </w:rPr>
        <w:t>Generally</w:t>
      </w:r>
      <w:r>
        <w:rPr>
          <w:rFonts w:ascii="Arial" w:cs="Arial" w:eastAsia="Arial" w:hAnsi="Arial"/>
          <w:sz w:val="17"/>
          <w:szCs w:val="17"/>
          <w:color w:val="auto"/>
        </w:rPr>
        <w:t xml:space="preserve">. As security for the payment and performance of the Obligations and without limiting any other grant of a Lien and security interest in any Security Document, Borrowers hereby assign and grant to Agent, for the benefit of itself and Lenders, a continuing first priority Lien on and security interest in, upon, and to the personal property set forth on </w:t>
      </w:r>
      <w:r>
        <w:rPr>
          <w:rFonts w:ascii="Arial" w:cs="Arial" w:eastAsia="Arial" w:hAnsi="Arial"/>
          <w:sz w:val="17"/>
          <w:szCs w:val="17"/>
          <w:u w:val="single" w:color="auto"/>
          <w:color w:val="auto"/>
        </w:rPr>
        <w:t>Schedule 9.1</w:t>
      </w:r>
      <w:r>
        <w:rPr>
          <w:rFonts w:ascii="Arial" w:cs="Arial" w:eastAsia="Arial" w:hAnsi="Arial"/>
          <w:sz w:val="17"/>
          <w:szCs w:val="17"/>
          <w:color w:val="auto"/>
        </w:rPr>
        <w:t xml:space="preserve"> attached hereto and made a part hereof.</w:t>
      </w:r>
    </w:p>
    <w:p>
      <w:pPr>
        <w:spacing w:after="0" w:line="166"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6"/>
          <w:szCs w:val="16"/>
          <w:u w:val="single" w:color="auto"/>
          <w:color w:val="auto"/>
        </w:rPr>
        <w:t>Representations and Warranties and Covenants Relating to Collateral</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4" w:lineRule="auto"/>
        <w:tabs>
          <w:tab w:leader="none" w:pos="1783"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security interest granted pursuant to this Agreement constitutes a valid and, to the extent such security interest is required to be perfected by this Agreement and any other Financing Document, continuing perfected security interest in favor of Agent in all Collateral subject, for the following Collateral, to the occurrence of the following: (i) in the case of all Collateral in which a security interest may be perfected by filing a financing statement under the UCC, the completion of the filings and other actions specified on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(which, in the case of all filings and other documents referred to on such schedule, have been delivered to Agent in completed and duly authorized form), (ii) with respect to any Deposit Account, the execution of Deposit Account Control Agreements, (iii) in the case of letter-of-credit rights that are not supporting obligations of Collateral, the execution of a contractual obligation granting control to Agent over such letter-of-credit rights, (iv) in the case of electronic chattel paper, the completion of all steps necessary to grant control to Agent over such</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1057" w:right="239" w:bottom="1440" w:gutter="0" w:footer="0" w:header="0"/>
        </w:sectPr>
      </w:pPr>
    </w:p>
    <w:bookmarkStart w:id="68" w:name="page69"/>
    <w:bookmarkEnd w:id="68"/>
    <w:p>
      <w:pPr>
        <w:jc w:val="both"/>
        <w:spacing w:after="0" w:line="291" w:lineRule="auto"/>
        <w:rPr>
          <w:sz w:val="20"/>
          <w:szCs w:val="20"/>
          <w:color w:val="auto"/>
        </w:rPr>
      </w:pPr>
      <w:r>
        <w:rPr>
          <w:rFonts w:ascii="Arial" w:cs="Arial" w:eastAsia="Arial" w:hAnsi="Arial"/>
          <w:sz w:val="16"/>
          <w:szCs w:val="16"/>
          <w:color w:val="auto"/>
        </w:rPr>
        <w:t>electronic chattel paper, (v) in the case of all certificated stock, debt instruments and investment property, the delivery thereof to Agent of such certificated stock, debt instruments and investment property consisting of instruments and certificates, in each case properly endorsed for transfer to Agent or in blank,</w:t>
      </w:r>
    </w:p>
    <w:p>
      <w:pPr>
        <w:jc w:val="both"/>
        <w:ind w:firstLine="8"/>
        <w:spacing w:after="0" w:line="253" w:lineRule="auto"/>
        <w:tabs>
          <w:tab w:leader="none" w:pos="31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case of all investment property not in certificated form, the execution of control agreements with respect to such investment property and (vii) in the case of all other instruments and tangible chattel paper that are not certificated stock, debt instructions or investment property, the delivery thereof to Agent of such instruments and tangible chattel paper. Such security interest shall be prior to all other Liens on the Collateral except for Permitted Liens. Except to the extent not required pursuant to the terms of this Agreement, all actions by each Credit Party necessary or desirable to protect and perfect the Lien granted hereunder on the Collateral have been duly taken.</w:t>
      </w:r>
    </w:p>
    <w:p>
      <w:pPr>
        <w:spacing w:after="0" w:line="191" w:lineRule="exact"/>
        <w:rPr>
          <w:rFonts w:ascii="Arial" w:cs="Arial" w:eastAsia="Arial" w:hAnsi="Arial"/>
          <w:sz w:val="18"/>
          <w:szCs w:val="18"/>
          <w:color w:val="auto"/>
        </w:rPr>
      </w:pPr>
    </w:p>
    <w:p>
      <w:pPr>
        <w:jc w:val="both"/>
        <w:ind w:left="80" w:firstLine="1306"/>
        <w:spacing w:after="0" w:line="293" w:lineRule="auto"/>
        <w:tabs>
          <w:tab w:leader="none" w:pos="1766" w:val="left"/>
        </w:tabs>
        <w:numPr>
          <w:ilvl w:val="1"/>
          <w:numId w:val="89"/>
        </w:numPr>
        <w:rPr>
          <w:rFonts w:ascii="Arial" w:cs="Arial" w:eastAsia="Arial" w:hAnsi="Arial"/>
          <w:sz w:val="16"/>
          <w:szCs w:val="16"/>
          <w:color w:val="auto"/>
        </w:rPr>
      </w:pPr>
      <w:r>
        <w:rPr>
          <w:rFonts w:ascii="Arial" w:cs="Arial" w:eastAsia="Arial" w:hAnsi="Arial"/>
          <w:sz w:val="16"/>
          <w:szCs w:val="16"/>
          <w:u w:val="single" w:color="auto"/>
          <w:color w:val="auto"/>
        </w:rPr>
        <w:t>Schedule 9.2(b)</w:t>
      </w:r>
      <w:r>
        <w:rPr>
          <w:rFonts w:ascii="Arial" w:cs="Arial" w:eastAsia="Arial" w:hAnsi="Arial"/>
          <w:sz w:val="16"/>
          <w:szCs w:val="16"/>
          <w:color w:val="auto"/>
        </w:rPr>
        <w:t xml:space="preserve"> sets forth (i) each chief executive office and principal place of business of each Borrower and each of their respective Subsidiaries, and (ii) all of the addresses (including all warehouses) at which any of the Collateral with a value in excess of $100,000 is located and/or books and records of Borrowers regarding any Collateral or any of Borrower’s assets, liabilities, business operations or financial condition are kept, which such </w:t>
      </w:r>
      <w:r>
        <w:rPr>
          <w:rFonts w:ascii="Arial" w:cs="Arial" w:eastAsia="Arial" w:hAnsi="Arial"/>
          <w:sz w:val="16"/>
          <w:szCs w:val="16"/>
          <w:u w:val="single" w:color="auto"/>
          <w:color w:val="auto"/>
        </w:rPr>
        <w:t>Schedule 9.2(b)</w:t>
      </w:r>
      <w:r>
        <w:rPr>
          <w:rFonts w:ascii="Arial" w:cs="Arial" w:eastAsia="Arial" w:hAnsi="Arial"/>
          <w:sz w:val="16"/>
          <w:szCs w:val="16"/>
          <w:color w:val="auto"/>
        </w:rPr>
        <w:t xml:space="preserve"> indicates in each case which Borrower(s) have Collateral and/or books located at such address, and, in the case of any such address not owned by one or more of the Borrowers(s), indicates the nature of such location (e.g., leased business location operated by Borrower(s), third party warehouse, consignment location, processor location, etc.) and the name and address of the third party owning and/or operating such location.</w:t>
      </w:r>
    </w:p>
    <w:p>
      <w:pPr>
        <w:spacing w:after="0" w:line="164" w:lineRule="exact"/>
        <w:rPr>
          <w:rFonts w:ascii="Arial" w:cs="Arial" w:eastAsia="Arial" w:hAnsi="Arial"/>
          <w:sz w:val="16"/>
          <w:szCs w:val="16"/>
          <w:color w:val="auto"/>
        </w:rPr>
      </w:pPr>
    </w:p>
    <w:p>
      <w:pPr>
        <w:jc w:val="both"/>
        <w:ind w:left="80" w:firstLine="1306"/>
        <w:spacing w:after="0" w:line="253" w:lineRule="auto"/>
        <w:tabs>
          <w:tab w:leader="none" w:pos="1786"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3.2, except as indicated on </w:t>
      </w:r>
      <w:r>
        <w:rPr>
          <w:rFonts w:ascii="Arial" w:cs="Arial" w:eastAsia="Arial" w:hAnsi="Arial"/>
          <w:sz w:val="18"/>
          <w:szCs w:val="18"/>
          <w:u w:val="single" w:color="auto"/>
          <w:color w:val="auto"/>
        </w:rPr>
        <w:t>Schedule 3.19</w:t>
      </w:r>
      <w:r>
        <w:rPr>
          <w:rFonts w:ascii="Arial" w:cs="Arial" w:eastAsia="Arial" w:hAnsi="Arial"/>
          <w:sz w:val="18"/>
          <w:szCs w:val="18"/>
          <w:color w:val="auto"/>
        </w:rPr>
        <w:t xml:space="preserve"> with respect to any rights of any Borrower as a licensee under any license of Intellectual Property owned by another Person, and except for the filing of financing statements under the UCC, no authorization, approval or other action by, and no notice to or filing with, any Governmental Authority or consent of any other Person is required for (i) the grant by each Borrower to Agent of the security interests and Liens in the Collateral provided for under this Agreement and the other Security Documents (if any), or (ii) the exercise by Agent of its rights and remedies with respect to the Collateral provided for under this Agreement and the other Security Documents or under any applicable Law, including the UCC and neither any such grant of Liens in favor of Agent or exercise of rights by Agent shall violate or cause a default under any agreement between any Borrower and any other Person relating to any such collateral, including any license constituting Collateral to which a Borrower is a party, whether as licensor or licensee, with respect to any Intellectual Property, whether owned by such Borrower or any other Person.</w:t>
      </w:r>
    </w:p>
    <w:p>
      <w:pPr>
        <w:spacing w:after="0" w:line="197" w:lineRule="exact"/>
        <w:rPr>
          <w:rFonts w:ascii="Arial" w:cs="Arial" w:eastAsia="Arial" w:hAnsi="Arial"/>
          <w:sz w:val="18"/>
          <w:szCs w:val="18"/>
          <w:color w:val="auto"/>
        </w:rPr>
      </w:pPr>
    </w:p>
    <w:p>
      <w:pPr>
        <w:jc w:val="both"/>
        <w:ind w:left="80" w:firstLine="1306"/>
        <w:spacing w:after="0" w:line="253" w:lineRule="auto"/>
        <w:tabs>
          <w:tab w:leader="none" w:pos="1826"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As of the Closing Date, except as set forth on </w:t>
      </w:r>
      <w:r>
        <w:rPr>
          <w:rFonts w:ascii="Arial" w:cs="Arial" w:eastAsia="Arial" w:hAnsi="Arial"/>
          <w:sz w:val="18"/>
          <w:szCs w:val="18"/>
          <w:u w:val="single" w:color="auto"/>
          <w:color w:val="auto"/>
        </w:rPr>
        <w:t>Schedule 9.2(d),</w:t>
      </w:r>
      <w:r>
        <w:rPr>
          <w:rFonts w:ascii="Arial" w:cs="Arial" w:eastAsia="Arial" w:hAnsi="Arial"/>
          <w:sz w:val="18"/>
          <w:szCs w:val="18"/>
          <w:color w:val="auto"/>
        </w:rPr>
        <w:t xml:space="preserve"> no Borrower has any ownership interest in any Chattel Paper (as defined in Article 9 of the UCC), letter of credit rights, commercial tort claims, Instruments, documents or investment property (other than equity interests in any Subsidiaries of such Borrower disclosed on </w:t>
      </w:r>
      <w:r>
        <w:rPr>
          <w:rFonts w:ascii="Arial" w:cs="Arial" w:eastAsia="Arial" w:hAnsi="Arial"/>
          <w:sz w:val="18"/>
          <w:szCs w:val="18"/>
          <w:u w:val="single" w:color="auto"/>
          <w:color w:val="auto"/>
        </w:rPr>
        <w:t>Schedule 3.4</w:t>
      </w:r>
      <w:r>
        <w:rPr>
          <w:rFonts w:ascii="Arial" w:cs="Arial" w:eastAsia="Arial" w:hAnsi="Arial"/>
          <w:sz w:val="18"/>
          <w:szCs w:val="18"/>
          <w:color w:val="auto"/>
        </w:rPr>
        <w:t xml:space="preserve"> or Permitted Investments) in each case with a value in excess of $100,000, and Borrowers shall give notice to Agent promptly (but in any event not later than the delivery by Borrowers of the next Compliance Certificate required pursuant to Section 4.1 above) upon the acquisition by any Borrower of any such Chattel Paper, letter of credit rights, commercial tort claims, Instruments, documents, investment property in each case with a value in excess of $100,000. No Person other than Agent or (if applicable) any Lender has “control” (as defined in Article 9 of the UCC) over any Deposit Account, investment property (including Securities Accounts and commodities account), letter of credit rights or electronic chattel paper with a value in excess of $100,000 in which any Borrower has any interest (except for such control arising by operation of law in favor of any bank or securities intermediary or commodities intermediary with whom any Deposit Account, Securities Account or commodities account of Borrowers is maintained).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25" w:right="239" w:bottom="1440" w:gutter="0" w:footer="0" w:header="0"/>
        </w:sectPr>
      </w:pPr>
    </w:p>
    <w:bookmarkStart w:id="69" w:name="page70"/>
    <w:bookmarkEnd w:id="69"/>
    <w:p>
      <w:pPr>
        <w:jc w:val="both"/>
        <w:ind w:firstLine="1306"/>
        <w:spacing w:after="0" w:line="284" w:lineRule="auto"/>
        <w:tabs>
          <w:tab w:leader="none" w:pos="1688" w:val="left"/>
        </w:tabs>
        <w:numPr>
          <w:ilvl w:val="1"/>
          <w:numId w:val="90"/>
        </w:numPr>
        <w:rPr>
          <w:rFonts w:ascii="Arial" w:cs="Arial" w:eastAsia="Arial" w:hAnsi="Arial"/>
          <w:sz w:val="16"/>
          <w:szCs w:val="16"/>
          <w:color w:val="auto"/>
        </w:rPr>
      </w:pPr>
      <w:r>
        <w:rPr>
          <w:rFonts w:ascii="Arial" w:cs="Arial" w:eastAsia="Arial" w:hAnsi="Arial"/>
          <w:sz w:val="16"/>
          <w:szCs w:val="16"/>
          <w:color w:val="auto"/>
        </w:rPr>
        <w:t>Borrowers shall not, and shall not permit any Credit Party to, take any of the following actions or make any of the following changes unless Borrowers have given at least thirty (30) days prior written notice to Agent of Borrowers’ intention to take any such action (which such written notice shall include an updated version of any Schedule impacted by such change) and have executed any and all documents, instruments and agreements and taken any other actions which Agent may reasonably request after receiving such written notice in order to protect and preserve the Liens, rights and remedies of Agent with respect to the Collateral: (i) change the legal name or organizational identification number of any Borrower as it appears in official filings in the jurisdiction of its organization, (ii) change the jurisdiction of incorporation or formation of any Borrower or Credit Party or allow any Borrower or Credit Party to designate any jurisdiction as an additional jurisdiction of incorporation for such Borrower or Credit Party, or change the type of entity that it is, or</w:t>
      </w:r>
    </w:p>
    <w:p>
      <w:pPr>
        <w:spacing w:after="0" w:line="2" w:lineRule="exact"/>
        <w:rPr>
          <w:rFonts w:ascii="Arial" w:cs="Arial" w:eastAsia="Arial" w:hAnsi="Arial"/>
          <w:sz w:val="16"/>
          <w:szCs w:val="16"/>
          <w:color w:val="auto"/>
        </w:rPr>
      </w:pPr>
    </w:p>
    <w:p>
      <w:pPr>
        <w:jc w:val="both"/>
        <w:ind w:firstLine="9"/>
        <w:spacing w:after="0" w:line="255" w:lineRule="auto"/>
        <w:tabs>
          <w:tab w:leader="none" w:pos="3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its chief executive office, principal place of business, or the location of its books and records or move any Collateral (other than Inventory in transit) to or place any Collateral on any location that is not then listed on the Schedules and/or establish any business location at any location that is not then listed on the Schedules.</w:t>
      </w:r>
    </w:p>
    <w:p>
      <w:pPr>
        <w:spacing w:after="0" w:line="190" w:lineRule="exact"/>
        <w:rPr>
          <w:rFonts w:ascii="Arial" w:cs="Arial" w:eastAsia="Arial" w:hAnsi="Arial"/>
          <w:sz w:val="18"/>
          <w:szCs w:val="18"/>
          <w:color w:val="auto"/>
        </w:rPr>
      </w:pPr>
    </w:p>
    <w:p>
      <w:pPr>
        <w:jc w:val="both"/>
        <w:ind w:firstLine="1306"/>
        <w:spacing w:after="0" w:line="255" w:lineRule="auto"/>
        <w:tabs>
          <w:tab w:leader="none" w:pos="1663" w:val="left"/>
        </w:tabs>
        <w:numPr>
          <w:ilvl w:val="1"/>
          <w:numId w:val="91"/>
        </w:numPr>
        <w:rPr>
          <w:rFonts w:ascii="Arial" w:cs="Arial" w:eastAsia="Arial" w:hAnsi="Arial"/>
          <w:sz w:val="18"/>
          <w:szCs w:val="18"/>
          <w:color w:val="auto"/>
        </w:rPr>
      </w:pPr>
      <w:r>
        <w:rPr>
          <w:rFonts w:ascii="Arial" w:cs="Arial" w:eastAsia="Arial" w:hAnsi="Arial"/>
          <w:sz w:val="18"/>
          <w:szCs w:val="18"/>
          <w:color w:val="auto"/>
        </w:rPr>
        <w:t>Borrowers shall not adjust, settle or compromise the amount or payment of any Account in excess of $1,000,000, or release wholly or partly any Account Debtor, or allow any credit or discount thereon (other than adjustments, settlements, compromises, credits and discounts in the Ordinary Course of Business, made while no Event of Default exists and in amounts which are not material with respect to the Account) without the prior written consent of Agent. Agent shall have the right at any time after the occurrence and during the continuance of an Event of Default to: (i) exercise the rights of Borrowers with respect to the obligation of any Account Debtor to make payment or otherwise render performance to Borrowers and with respect to any property that secures the obligations of any Account Debtor or any other Person obligated on the Collateral, and (ii) adjust, settle or compromise the amount or payment of such Accounts.</w:t>
      </w:r>
    </w:p>
    <w:p>
      <w:pPr>
        <w:spacing w:after="0" w:line="189" w:lineRule="exact"/>
        <w:rPr>
          <w:rFonts w:ascii="Arial" w:cs="Arial" w:eastAsia="Arial" w:hAnsi="Arial"/>
          <w:sz w:val="18"/>
          <w:szCs w:val="18"/>
          <w:color w:val="auto"/>
        </w:rPr>
      </w:pPr>
    </w:p>
    <w:p>
      <w:pPr>
        <w:ind w:left="1700" w:hanging="394"/>
        <w:spacing w:after="0"/>
        <w:tabs>
          <w:tab w:leader="none" w:pos="17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Without limiting the generality of Sections 9.2(c) and 9.2(e):</w:t>
      </w:r>
    </w:p>
    <w:p>
      <w:pPr>
        <w:spacing w:after="0" w:line="225" w:lineRule="exact"/>
        <w:rPr>
          <w:rFonts w:ascii="Arial" w:cs="Arial" w:eastAsia="Arial" w:hAnsi="Arial"/>
          <w:sz w:val="18"/>
          <w:szCs w:val="18"/>
          <w:color w:val="auto"/>
        </w:rPr>
      </w:pPr>
    </w:p>
    <w:p>
      <w:pPr>
        <w:jc w:val="both"/>
        <w:ind w:left="580" w:firstLine="1293"/>
        <w:spacing w:after="0" w:line="270" w:lineRule="auto"/>
        <w:tabs>
          <w:tab w:leader="none" w:pos="2316" w:val="left"/>
        </w:tabs>
        <w:numPr>
          <w:ilvl w:val="2"/>
          <w:numId w:val="91"/>
        </w:numPr>
        <w:rPr>
          <w:rFonts w:ascii="Arial" w:cs="Arial" w:eastAsia="Arial" w:hAnsi="Arial"/>
          <w:sz w:val="17"/>
          <w:szCs w:val="17"/>
          <w:color w:val="auto"/>
        </w:rPr>
      </w:pPr>
      <w:r>
        <w:rPr>
          <w:rFonts w:ascii="Arial" w:cs="Arial" w:eastAsia="Arial" w:hAnsi="Arial"/>
          <w:sz w:val="17"/>
          <w:szCs w:val="17"/>
          <w:color w:val="auto"/>
        </w:rPr>
        <w:t>Borrowers shall deliver to Agent all tangible Chattel Paper and all Instruments and documents with a value in excess of $100,000 owned by any Borrower and constituting part of the Collateral duly endorsed and accompanied by duly executed instruments of transfer or assignment, all in form and substance satisfactory to Agent. Borrowers shall provide Agent with “control” (as defined in Article 9 of the UCC) of all electronic Chattel Paper with a value in excess of $100,000 owned by any Borrower and constituting part of the Collateral by having Agent identified as the assignee on the records pertaining to the single authoritative copy thereof and otherwise complying with the applicable elements of control set forth in the UCC. Borrowers also shall deliver to Agent all security agreements securing any such Chattel Paper and securing any such Instruments. Borrowers will mark conspicuously all such Chattel Paper and all such Instruments and documents with a legend, in form and substance reasonably satisfactory to Agent, indicating that such Chattel Paper and such instruments and documents are subject to the security interests and Liens in favor of Agent created pursuant to this Agreement and the Security Documents. Borrowers shall comply with all the provisions of Section 5.14 with respect to the Deposit Accounts and Securities Accounts of Borrowers.</w:t>
      </w:r>
    </w:p>
    <w:p>
      <w:pPr>
        <w:spacing w:after="0" w:line="177" w:lineRule="exact"/>
        <w:rPr>
          <w:rFonts w:ascii="Arial" w:cs="Arial" w:eastAsia="Arial" w:hAnsi="Arial"/>
          <w:sz w:val="17"/>
          <w:szCs w:val="17"/>
          <w:color w:val="auto"/>
        </w:rPr>
      </w:pPr>
    </w:p>
    <w:p>
      <w:pPr>
        <w:jc w:val="both"/>
        <w:ind w:left="580" w:firstLine="1293"/>
        <w:spacing w:after="0" w:line="302" w:lineRule="auto"/>
        <w:tabs>
          <w:tab w:leader="none" w:pos="2387" w:val="left"/>
        </w:tabs>
        <w:numPr>
          <w:ilvl w:val="2"/>
          <w:numId w:val="91"/>
        </w:numPr>
        <w:rPr>
          <w:rFonts w:ascii="Arial" w:cs="Arial" w:eastAsia="Arial" w:hAnsi="Arial"/>
          <w:sz w:val="16"/>
          <w:szCs w:val="16"/>
          <w:color w:val="auto"/>
        </w:rPr>
      </w:pPr>
      <w:r>
        <w:rPr>
          <w:rFonts w:ascii="Arial" w:cs="Arial" w:eastAsia="Arial" w:hAnsi="Arial"/>
          <w:sz w:val="16"/>
          <w:szCs w:val="16"/>
          <w:color w:val="auto"/>
        </w:rPr>
        <w:t>Borrowers shall deliver to Agent all letters of credit with a value in excess of $100,000on which any Borrower is the beneficiary and which give rise to letter of credit rights owned by such Borrower which constitute part of the Collateral in each case duly endorsed and accompanied by duly executed instruments of transfer or assignment, all in form and substance reasonably satisfactory to Agent. Borrowers shall take any and all actions as may be necessary or desirable, or that Agent may request, from time to time, to cause Agent to obtain</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340"/>
          </w:cols>
          <w:pgMar w:left="320" w:top="1057"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exclusive “control” (as defined in Article 9 of the UCC) of any such letter of credit rights in a manner acceptable to Agent.</w:t>
      </w:r>
    </w:p>
    <w:p>
      <w:pPr>
        <w:spacing w:after="0" w:line="225" w:lineRule="exact"/>
        <w:rPr>
          <w:sz w:val="20"/>
          <w:szCs w:val="20"/>
          <w:color w:val="auto"/>
        </w:rPr>
      </w:pPr>
    </w:p>
    <w:p>
      <w:pPr>
        <w:jc w:val="both"/>
        <w:ind w:firstLine="1293"/>
        <w:spacing w:after="0" w:line="273" w:lineRule="auto"/>
        <w:tabs>
          <w:tab w:leader="none" w:pos="1769" w:val="left"/>
        </w:tabs>
        <w:numPr>
          <w:ilvl w:val="0"/>
          <w:numId w:val="92"/>
        </w:numPr>
        <w:rPr>
          <w:rFonts w:ascii="Arial" w:cs="Arial" w:eastAsia="Arial" w:hAnsi="Arial"/>
          <w:sz w:val="17"/>
          <w:szCs w:val="17"/>
          <w:color w:val="auto"/>
        </w:rPr>
      </w:pPr>
      <w:r>
        <w:rPr>
          <w:rFonts w:ascii="Arial" w:cs="Arial" w:eastAsia="Arial" w:hAnsi="Arial"/>
          <w:sz w:val="17"/>
          <w:szCs w:val="17"/>
          <w:color w:val="auto"/>
        </w:rPr>
        <w:t>Borrowers shall promptly advise Agent upon any Borrower becoming aware that it has any interests in any commercial tort claim with a value in excess of $100,000 that constitutes part of the Collateral, which such notice shall include descriptions of the events and circumstances giving rise to such commercial tort claim and the dates such events and circumstances occurred, the potential defendants with respect to such commercial tort claim and any court proceedings that have been instituted with respect to such commercial tort claims, and Borrowers shall, with respect to any such commercial tort claim, execute and deliver to Agent such documents as Agent shall request to perfect, preserve or protect the Liens, rights and remedies of Agent with respect to any such commercial tort claim.</w:t>
      </w:r>
    </w:p>
    <w:p>
      <w:pPr>
        <w:spacing w:after="0" w:line="178" w:lineRule="exact"/>
        <w:rPr>
          <w:rFonts w:ascii="Arial" w:cs="Arial" w:eastAsia="Arial" w:hAnsi="Arial"/>
          <w:sz w:val="17"/>
          <w:szCs w:val="17"/>
          <w:color w:val="auto"/>
        </w:rPr>
      </w:pPr>
    </w:p>
    <w:p>
      <w:pPr>
        <w:jc w:val="both"/>
        <w:ind w:firstLine="1293"/>
        <w:spacing w:after="0" w:line="269" w:lineRule="auto"/>
        <w:tabs>
          <w:tab w:leader="none" w:pos="1766"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Subject to Section 7.4, except for Collateral with an aggregate value of $250,000 or less with respect to any single location or $1,500,000 or less in the aggregate with respect to all locations, no Accounts or Inventory or other Collateral and no books and records and/or software and equipment of the Borrowers regarding any of the Collateral or any of the Borrower’s assets, liabilities, business operations or financial condition shall at any time be located at any leased location or in the possession or control of any warehouse, consignee, bailee or any of Borrowers’ agents or processors, without prior written notice to Agent and the receipt by Agent, of warehouse receipts, consignment agreements, landlord waivers, or bailee waivers (as applicable) reasonably satisfactory to Agent prior to the commencement of such lease or of such possession or control (as applicable). Borrower has notified Agent that Collateral and books and records are currently located at the locations set forth on Schedule 9.2(b). Borrowers shall, upon the request of Agent, notify any such landlord, warehouse, consignee, bailee, agent or processor of the security interests and Liens in favor of Agent created pursuant to this Agreement and the Security Documents, instruct such Person to hold all such Collateral for Agent’s account subject to Agent’s instructions and shall obtain an acknowledgement from such Person that such Person holds the Collateral for Agent’s benefit.</w:t>
      </w:r>
    </w:p>
    <w:p>
      <w:pPr>
        <w:spacing w:after="0" w:line="182" w:lineRule="exact"/>
        <w:rPr>
          <w:rFonts w:ascii="Arial" w:cs="Arial" w:eastAsia="Arial" w:hAnsi="Arial"/>
          <w:sz w:val="17"/>
          <w:szCs w:val="17"/>
          <w:color w:val="auto"/>
        </w:rPr>
      </w:pPr>
    </w:p>
    <w:p>
      <w:pPr>
        <w:jc w:val="both"/>
        <w:ind w:firstLine="1293"/>
        <w:spacing w:after="0" w:line="255" w:lineRule="auto"/>
        <w:tabs>
          <w:tab w:leader="none" w:pos="183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Borrowers shall cause all equipment and other tangible Personal Property other than Inventory to be maintained and preserved in the same condition, repair and in working order as when new, ordinary wear and tear and casualty loss excepted, and shall promptly make or cause to be made all repairs, replacements and other improvements in connection therewith that are necessary or desirable to such end. Upon request of Agent, Borrowers shall promptly deliver to Agent any and all certificates of title, applications for title or similar evidence of ownership of all such tangible Personal Property with a value in excess of $100,000 and shall cause Agent to be named as lienholder on any such certificate of title or other evidence of ownership. Borrowers shall not permit any such tangible Personal Property to become fixtures to real estate unless such real estate is subject to a Lien in favor of Agent.</w:t>
      </w:r>
    </w:p>
    <w:p>
      <w:pPr>
        <w:spacing w:after="0" w:line="189" w:lineRule="exact"/>
        <w:rPr>
          <w:rFonts w:ascii="Arial" w:cs="Arial" w:eastAsia="Arial" w:hAnsi="Arial"/>
          <w:sz w:val="18"/>
          <w:szCs w:val="18"/>
          <w:color w:val="auto"/>
        </w:rPr>
      </w:pPr>
    </w:p>
    <w:p>
      <w:pPr>
        <w:jc w:val="both"/>
        <w:ind w:firstLine="1293"/>
        <w:spacing w:after="0" w:line="272" w:lineRule="auto"/>
        <w:tabs>
          <w:tab w:leader="none" w:pos="1875"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Borrower hereby authorizes Agent to file without the signature of such Borrower one or more UCC financing statements relating to liens on personal property relating to all or any part of the Collateral, which financing statements may list Agent as the “secured party” and such Borrower as the “debtor” and which describe and indicate the collateral covered thereby as all or any part of the Collateral under the Financing Documents (including an indication of the collateral covered by any such financing statement as “all assets” of such Borrower now owned or hereafter acquired), in such jurisdictions as Agent from time to time determines are appropriate, and to file without the signature of such Borrower any continuations of or corrective amendments to any such financing statements, in any such case in order for Agent to perfect, preserve or protect the Liens, rights and remedies of Agent with respect to the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Collateral. Each Borrower also ratifies its authorization for Agent to have filed in any jurisdiction any initial financing statements or amendments thereto if filed prior to the date hereof.</w:t>
      </w:r>
    </w:p>
    <w:p>
      <w:pPr>
        <w:spacing w:after="0" w:line="170" w:lineRule="exact"/>
        <w:rPr>
          <w:sz w:val="20"/>
          <w:szCs w:val="20"/>
          <w:color w:val="auto"/>
        </w:rPr>
      </w:pPr>
    </w:p>
    <w:p>
      <w:pPr>
        <w:jc w:val="both"/>
        <w:ind w:firstLine="1293"/>
        <w:spacing w:after="0" w:line="286" w:lineRule="auto"/>
        <w:tabs>
          <w:tab w:leader="none" w:pos="1831" w:val="left"/>
        </w:tabs>
        <w:numPr>
          <w:ilvl w:val="0"/>
          <w:numId w:val="93"/>
        </w:numPr>
        <w:rPr>
          <w:rFonts w:ascii="Arial" w:cs="Arial" w:eastAsia="Arial" w:hAnsi="Arial"/>
          <w:sz w:val="17"/>
          <w:szCs w:val="17"/>
          <w:color w:val="auto"/>
        </w:rPr>
      </w:pPr>
      <w:r>
        <w:rPr>
          <w:rFonts w:ascii="Arial" w:cs="Arial" w:eastAsia="Arial" w:hAnsi="Arial"/>
          <w:sz w:val="17"/>
          <w:szCs w:val="17"/>
          <w:color w:val="auto"/>
        </w:rPr>
        <w:t>As of the Closing Date, no Borrower holds, and after the Closing Date Borrowers shall promptly notify Agent in writing upon creation or acquisition by any Borrower of, any Collateral which constitutes a claim in excess of $100,000 in the aggregate against any Governmental Authority, including, without limitation, the federal government of the United States or any instrumentality or agency thereof, the</w:t>
      </w:r>
    </w:p>
    <w:p>
      <w:pPr>
        <w:spacing w:after="0" w:line="200" w:lineRule="exact"/>
        <w:rPr>
          <w:sz w:val="20"/>
          <w:szCs w:val="20"/>
          <w:color w:val="auto"/>
        </w:rPr>
      </w:pPr>
    </w:p>
    <w:p>
      <w:pPr>
        <w:spacing w:after="0" w:line="21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0760"/>
          </w:cols>
          <w:pgMar w:left="900" w:top="625" w:right="239" w:bottom="1440" w:gutter="0" w:footer="0" w:header="0"/>
        </w:sectPr>
      </w:pPr>
    </w:p>
    <w:bookmarkStart w:id="71" w:name="page72"/>
    <w:bookmarkEnd w:id="71"/>
    <w:p>
      <w:pPr>
        <w:jc w:val="both"/>
        <w:ind w:left="660"/>
        <w:spacing w:after="0" w:line="264" w:lineRule="auto"/>
        <w:rPr>
          <w:sz w:val="20"/>
          <w:szCs w:val="20"/>
          <w:color w:val="auto"/>
        </w:rPr>
      </w:pPr>
      <w:r>
        <w:rPr>
          <w:rFonts w:ascii="Arial" w:cs="Arial" w:eastAsia="Arial" w:hAnsi="Arial"/>
          <w:sz w:val="18"/>
          <w:szCs w:val="18"/>
          <w:color w:val="auto"/>
        </w:rPr>
        <w:t>assignment of which claim is restricted by any applicable Law, including, without limitation, the federal Assignment of Claims Act and any other comparable Law. Upon the request of Agent, Borrowers shall take such steps as may be necessary or desirable, or that Agent may request, to comply with any such applicable Law.</w:t>
      </w:r>
    </w:p>
    <w:p>
      <w:pPr>
        <w:spacing w:after="0" w:line="181" w:lineRule="exact"/>
        <w:rPr>
          <w:sz w:val="20"/>
          <w:szCs w:val="20"/>
          <w:color w:val="auto"/>
        </w:rPr>
      </w:pPr>
    </w:p>
    <w:p>
      <w:pPr>
        <w:ind w:left="660" w:firstLine="1293"/>
        <w:spacing w:after="0" w:line="308" w:lineRule="auto"/>
        <w:tabs>
          <w:tab w:leader="none" w:pos="2584" w:val="left"/>
        </w:tabs>
        <w:numPr>
          <w:ilvl w:val="0"/>
          <w:numId w:val="94"/>
        </w:numPr>
        <w:rPr>
          <w:rFonts w:ascii="Arial" w:cs="Arial" w:eastAsia="Arial" w:hAnsi="Arial"/>
          <w:sz w:val="17"/>
          <w:szCs w:val="17"/>
          <w:color w:val="auto"/>
        </w:rPr>
      </w:pPr>
      <w:r>
        <w:rPr>
          <w:rFonts w:ascii="Arial" w:cs="Arial" w:eastAsia="Arial" w:hAnsi="Arial"/>
          <w:sz w:val="17"/>
          <w:szCs w:val="17"/>
          <w:color w:val="auto"/>
        </w:rPr>
        <w:t>Borrowers shall furnish to Agent from time to time any statements and schedules further identifying or describing the Collateral and any other information, reports or evidence concerning the Collateral as Agent may reasonably request from time to time.</w:t>
      </w:r>
    </w:p>
    <w:p>
      <w:pPr>
        <w:spacing w:after="0" w:line="146" w:lineRule="exact"/>
        <w:rPr>
          <w:rFonts w:ascii="Arial" w:cs="Arial" w:eastAsia="Arial" w:hAnsi="Arial"/>
          <w:sz w:val="17"/>
          <w:szCs w:val="17"/>
          <w:color w:val="auto"/>
        </w:rPr>
      </w:pPr>
    </w:p>
    <w:p>
      <w:pPr>
        <w:ind w:left="660" w:firstLine="1293"/>
        <w:spacing w:after="0" w:line="277" w:lineRule="auto"/>
        <w:tabs>
          <w:tab w:leader="none" w:pos="2411"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amount payable to any Credit Party under or in connection with any Intercompany Receivable of an amount greater than $1,000,000 is evidenced by any Instrument or Chattel Paper which has not been delivered to the Agent.</w:t>
      </w:r>
    </w:p>
    <w:p>
      <w:pPr>
        <w:spacing w:after="0" w:line="170" w:lineRule="exact"/>
        <w:rPr>
          <w:rFonts w:ascii="Arial" w:cs="Arial" w:eastAsia="Arial" w:hAnsi="Arial"/>
          <w:sz w:val="18"/>
          <w:szCs w:val="18"/>
          <w:color w:val="auto"/>
        </w:rPr>
      </w:pPr>
    </w:p>
    <w:p>
      <w:pPr>
        <w:ind w:left="660" w:firstLine="1293"/>
        <w:spacing w:after="0" w:line="277" w:lineRule="auto"/>
        <w:tabs>
          <w:tab w:leader="none" w:pos="237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represented by each Credit Party to Agent and the Lenders from time to time as owing to such Credit Party in respect of the Intercompany Receivables will at such times be accurate in all material respects.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 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For purposes of the Financing Documents, the occurrence of any of the following conditions and/or events, whether voluntary or involuntary, by operation of law or otherwise,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70" w:lineRule="exact"/>
        <w:rPr>
          <w:sz w:val="20"/>
          <w:szCs w:val="20"/>
          <w:color w:val="auto"/>
        </w:rPr>
      </w:pPr>
    </w:p>
    <w:p>
      <w:pPr>
        <w:jc w:val="both"/>
        <w:ind w:left="80" w:firstLine="1306"/>
        <w:spacing w:after="0" w:line="259" w:lineRule="auto"/>
        <w:tabs>
          <w:tab w:leader="none" w:pos="1767" w:val="left"/>
        </w:tabs>
        <w:numPr>
          <w:ilvl w:val="1"/>
          <w:numId w:val="95"/>
        </w:numPr>
        <w:rPr>
          <w:rFonts w:ascii="Arial" w:cs="Arial" w:eastAsia="Arial" w:hAnsi="Arial"/>
          <w:sz w:val="18"/>
          <w:szCs w:val="18"/>
          <w:color w:val="auto"/>
        </w:rPr>
      </w:pPr>
      <w:r>
        <w:rPr>
          <w:rFonts w:ascii="Arial" w:cs="Arial" w:eastAsia="Arial" w:hAnsi="Arial"/>
          <w:sz w:val="18"/>
          <w:szCs w:val="18"/>
          <w:color w:val="auto"/>
        </w:rPr>
        <w:t>(i) any Credit Party shall fail to pay when due any principal, interest, or scheduled premium or fee under any Financing Document or any other amount payable under any Financing Document within one (1) Business Days of when due, or (ii) there shall occur any default in the performance of or compliance with any of the following sections of this Agreement: Section 4.1, Section 4.2(b), Section 4.4(c), Section 4.5, Section 4.6, Section 4.11, Section 4.16(d), Section 4.17, Article 5 or Article 6;</w:t>
      </w:r>
    </w:p>
    <w:p>
      <w:pPr>
        <w:spacing w:after="0" w:line="186" w:lineRule="exact"/>
        <w:rPr>
          <w:rFonts w:ascii="Arial" w:cs="Arial" w:eastAsia="Arial" w:hAnsi="Arial"/>
          <w:sz w:val="18"/>
          <w:szCs w:val="18"/>
          <w:color w:val="auto"/>
        </w:rPr>
      </w:pPr>
    </w:p>
    <w:p>
      <w:pPr>
        <w:jc w:val="both"/>
        <w:ind w:left="80" w:firstLine="1306"/>
        <w:spacing w:after="0" w:line="286" w:lineRule="auto"/>
        <w:tabs>
          <w:tab w:leader="none" w:pos="1797" w:val="left"/>
        </w:tabs>
        <w:numPr>
          <w:ilvl w:val="1"/>
          <w:numId w:val="95"/>
        </w:numPr>
        <w:rPr>
          <w:rFonts w:ascii="Arial" w:cs="Arial" w:eastAsia="Arial" w:hAnsi="Arial"/>
          <w:sz w:val="16"/>
          <w:szCs w:val="16"/>
          <w:color w:val="auto"/>
        </w:rPr>
      </w:pPr>
      <w:r>
        <w:rPr>
          <w:rFonts w:ascii="Arial" w:cs="Arial" w:eastAsia="Arial" w:hAnsi="Arial"/>
          <w:sz w:val="16"/>
          <w:szCs w:val="16"/>
          <w:color w:val="auto"/>
        </w:rPr>
        <w:t>any Credit Party defaults in the performance of or compliance with any term contained in this Agreement or in any other Financing Document (other than occurrences described in other provisions of this Section 10.1 for which a different grace or cure period is specified or for which no grace or cure period is specified and thereby constitute immediate Events of Default) and such default is not remedied by the Credit Party or waived by Agent within fifteen (15) days after the earlier of (i) receipt by Borrower Representative of notice from Agent or Required Lenders of such default, or</w:t>
      </w:r>
    </w:p>
    <w:p>
      <w:pPr>
        <w:spacing w:after="0" w:line="1" w:lineRule="exact"/>
        <w:rPr>
          <w:rFonts w:ascii="Arial" w:cs="Arial" w:eastAsia="Arial" w:hAnsi="Arial"/>
          <w:sz w:val="16"/>
          <w:szCs w:val="16"/>
          <w:color w:val="auto"/>
        </w:rPr>
      </w:pPr>
    </w:p>
    <w:p>
      <w:pPr>
        <w:ind w:left="360" w:hanging="271"/>
        <w:spacing w:after="0"/>
        <w:tabs>
          <w:tab w:leader="none" w:pos="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actual knowledge of any Borrower or any other Credit Party of such default;</w:t>
      </w:r>
    </w:p>
    <w:p>
      <w:pPr>
        <w:spacing w:after="0" w:line="210" w:lineRule="exact"/>
        <w:rPr>
          <w:rFonts w:ascii="Arial" w:cs="Arial" w:eastAsia="Arial" w:hAnsi="Arial"/>
          <w:sz w:val="18"/>
          <w:szCs w:val="18"/>
          <w:color w:val="auto"/>
        </w:rPr>
      </w:pPr>
    </w:p>
    <w:p>
      <w:pPr>
        <w:jc w:val="both"/>
        <w:ind w:left="80" w:firstLine="1306"/>
        <w:spacing w:after="0" w:line="312" w:lineRule="auto"/>
        <w:tabs>
          <w:tab w:leader="none" w:pos="17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representation, warranty, certification or statement made by any Credit Party or any other Person in any Financing Document or in any certificate, financial statement or other document delivered pursuant to any Financing Document is incorrect in any respect (or in any material respect if such representation, warranty, certification or statement is not by its terms already qualified as to materiality) when made (or deemed made);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625" w:right="239" w:bottom="1440" w:gutter="0" w:footer="0" w:header="0"/>
        </w:sectPr>
      </w:pPr>
    </w:p>
    <w:bookmarkStart w:id="72" w:name="page73"/>
    <w:bookmarkEnd w:id="72"/>
    <w:p>
      <w:pPr>
        <w:jc w:val="both"/>
        <w:ind w:firstLine="1306"/>
        <w:spacing w:after="0" w:line="291" w:lineRule="auto"/>
        <w:tabs>
          <w:tab w:leader="none" w:pos="1701"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failure of any Credit Party or any Subsidiary thereof to pay when due or within any applicable grace period any principal, interest or other amount on Debt (other than the Loans), or the occurrence of any breach, default, condition or event with respect to any Debt (other than the Loans), if the effect of such failure or occurrence is to cause or to permit the holder or holders of any such Debt, or to cause, Debt or other liabilities having an individual principal amount in excess of $1,000,000 or having an aggregate principal amount in excess of $5,000,000 to become or be declared due prior to its stated maturity, or (ii) the occurrence of any breach or default under any terms or provisions of any 2022 Convertible Note Document or any Subordinated Debt Document or under any agreement subordinating the Subordinated Debt to all or any portion of the Obligations or the occurrence of any event requiring (or that would allow the holders thereof to require) the prepayment or mandatory redemption of any 2022 Convertible Note;</w:t>
      </w:r>
    </w:p>
    <w:p>
      <w:pPr>
        <w:spacing w:after="0" w:line="167" w:lineRule="exact"/>
        <w:rPr>
          <w:rFonts w:ascii="Arial" w:cs="Arial" w:eastAsia="Arial" w:hAnsi="Arial"/>
          <w:sz w:val="16"/>
          <w:szCs w:val="16"/>
          <w:color w:val="auto"/>
        </w:rPr>
      </w:pPr>
    </w:p>
    <w:p>
      <w:pPr>
        <w:jc w:val="both"/>
        <w:ind w:firstLine="1306"/>
        <w:spacing w:after="0" w:line="255" w:lineRule="auto"/>
        <w:tabs>
          <w:tab w:leader="none" w:pos="181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Credit Party or any Subsidiary of a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spacing w:after="0" w:line="193" w:lineRule="exact"/>
        <w:rPr>
          <w:rFonts w:ascii="Arial" w:cs="Arial" w:eastAsia="Arial" w:hAnsi="Arial"/>
          <w:sz w:val="18"/>
          <w:szCs w:val="18"/>
          <w:color w:val="auto"/>
        </w:rPr>
      </w:pPr>
    </w:p>
    <w:p>
      <w:pPr>
        <w:jc w:val="both"/>
        <w:ind w:firstLine="1306"/>
        <w:spacing w:after="0" w:line="290" w:lineRule="auto"/>
        <w:tabs>
          <w:tab w:leader="none" w:pos="1753"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 involuntary case or other proceeding shall be commenced against any Credit Party or any Subsidiary of a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sixty (60) days; or an order for relief shall be entered against any Credit Party or any Subsidiary of a Borrower under applicable federal bankruptcy, insolvency or other similar law in respect of (i) bankruptcy, liquidation, winding-up, dissolution or suspension of general operations, (ii) composition, rescheduling, reorganization, arrangement or readjustment of, or other relief from, or stay of proceedings to enforce, some or all of the debts or obligations, or (iii) possession, foreclosure, seizure or retention, sale or other disposition of, or other proceedings to enforce security over, all or any substantial part of the assets of such Credit Party or Subsidiary;</w:t>
      </w:r>
    </w:p>
    <w:p>
      <w:pPr>
        <w:spacing w:after="0" w:line="166" w:lineRule="exact"/>
        <w:rPr>
          <w:rFonts w:ascii="Arial" w:cs="Arial" w:eastAsia="Arial" w:hAnsi="Arial"/>
          <w:sz w:val="16"/>
          <w:szCs w:val="16"/>
          <w:color w:val="auto"/>
        </w:rPr>
      </w:pPr>
    </w:p>
    <w:p>
      <w:pPr>
        <w:jc w:val="both"/>
        <w:ind w:firstLine="1306"/>
        <w:spacing w:after="0" w:line="255" w:lineRule="auto"/>
        <w:tabs>
          <w:tab w:leader="none" w:pos="17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institution of any steps by any Person to terminate a Pension Plan if as a result of such termination any Credit Party or any member of the Controlled Group could be required to make a contribution to such Pension Plan, or could incur a liability or obligation to such Pension Plan, in excess of $1,000,000, (ii) a contribution failure occurs with respect to any Pension Plan sufficient to give rise to a Lien under Section 303(k) of ERISA or Section 430(k) of the Code or an event occurs that would reasonably be expected to give rise to a Lien under Section 4068 of ERISA, or (iii) there shall occur any withdrawal or partial withdrawal from a Multiemployer Plan and the withdrawal liability (without unaccrued interest) to Multiemployer Plans as a result of such withdrawal (including any outstanding withdrawal liability that any Credit Party or any member of the Controlled Group have incurred on the date of such withdrawal) exceeds $1,000,000;</w:t>
      </w:r>
    </w:p>
    <w:p>
      <w:pPr>
        <w:spacing w:after="0" w:line="189" w:lineRule="exact"/>
        <w:rPr>
          <w:rFonts w:ascii="Arial" w:cs="Arial" w:eastAsia="Arial" w:hAnsi="Arial"/>
          <w:sz w:val="18"/>
          <w:szCs w:val="18"/>
          <w:color w:val="auto"/>
        </w:rPr>
      </w:pPr>
    </w:p>
    <w:p>
      <w:pPr>
        <w:jc w:val="both"/>
        <w:ind w:firstLine="1306"/>
        <w:spacing w:after="0" w:line="259" w:lineRule="auto"/>
        <w:tabs>
          <w:tab w:leader="none" w:pos="1689"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or more judgments or orders for the payment of money (not paid or fully covered by insurance maintained in accordance with the requirements of this Agreement and as to which the relevant insurance company has acknowledged coverage) aggregating in excess of $1,000,000 shall be rendered against any or all Credit Parties or any Subsidiary thereof and either (i) enforcement proceedings shall have been commenced by any creditor upon any such judgments or orders, or (ii) there</w:t>
      </w:r>
    </w:p>
    <w:p>
      <w:pPr>
        <w:spacing w:after="0" w:line="200" w:lineRule="exact"/>
        <w:rPr>
          <w:sz w:val="20"/>
          <w:szCs w:val="20"/>
          <w:color w:val="auto"/>
        </w:rPr>
      </w:pPr>
    </w:p>
    <w:p>
      <w:pPr>
        <w:spacing w:after="0" w:line="23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340"/>
          </w:cols>
          <w:pgMar w:left="320" w:top="1057" w:right="239" w:bottom="1440" w:gutter="0" w:footer="0" w:header="0"/>
        </w:sectPr>
      </w:pPr>
    </w:p>
    <w:bookmarkStart w:id="73" w:name="page74"/>
    <w:bookmarkEnd w:id="73"/>
    <w:p>
      <w:pPr>
        <w:spacing w:after="0" w:line="277" w:lineRule="auto"/>
        <w:rPr>
          <w:sz w:val="20"/>
          <w:szCs w:val="20"/>
          <w:color w:val="auto"/>
        </w:rPr>
      </w:pPr>
      <w:r>
        <w:rPr>
          <w:rFonts w:ascii="Arial" w:cs="Arial" w:eastAsia="Arial" w:hAnsi="Arial"/>
          <w:sz w:val="18"/>
          <w:szCs w:val="18"/>
          <w:color w:val="auto"/>
        </w:rPr>
        <w:t>shall be any period of twenty (20) consecutive days during which a stay of enforcement of any such judgments or orders, by reason of a pending appeal, bond or otherwise, shall not be in effect;</w:t>
      </w:r>
    </w:p>
    <w:p>
      <w:pPr>
        <w:spacing w:after="0" w:line="170" w:lineRule="exact"/>
        <w:rPr>
          <w:sz w:val="20"/>
          <w:szCs w:val="20"/>
          <w:color w:val="auto"/>
        </w:rPr>
      </w:pPr>
    </w:p>
    <w:p>
      <w:pPr>
        <w:jc w:val="both"/>
        <w:ind w:left="80" w:firstLine="1306"/>
        <w:spacing w:after="0" w:line="255" w:lineRule="auto"/>
        <w:tabs>
          <w:tab w:leader="none" w:pos="18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as contemplated hereby and by the other Security Documents, any Lien created under this Agreement or any of the other Security Documents shall at any time (but in the case of any Lien on Registered Intellectual Property registered in any jurisdiction located outside of the United States, only after the occurrence of a Foreign IP Perfection Event) fail to constitute a valid and perfected Lien on all of the Collateral purported to be secured thereby, subject to no prior or equal Lien except Permitted Liens (except as a result of (i) Agent’s failure to take any action reasonably required to maintain a valid and perfected Lien on any Collateral or (ii) any action taken by Agent to release any Lien on any Collateral), or any Credit Party shall so assert;</w:t>
      </w:r>
    </w:p>
    <w:p>
      <w:pPr>
        <w:spacing w:after="0" w:line="193" w:lineRule="exact"/>
        <w:rPr>
          <w:rFonts w:ascii="Arial" w:cs="Arial" w:eastAsia="Arial" w:hAnsi="Arial"/>
          <w:sz w:val="18"/>
          <w:szCs w:val="18"/>
          <w:color w:val="auto"/>
        </w:rPr>
      </w:pPr>
    </w:p>
    <w:p>
      <w:pPr>
        <w:ind w:left="1740" w:hanging="354"/>
        <w:spacing w:after="0"/>
        <w:tabs>
          <w:tab w:leader="none" w:pos="17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institution by any Governmental Authority of criminal proceedings against any Credit Party;</w:t>
      </w:r>
    </w:p>
    <w:p>
      <w:pPr>
        <w:spacing w:after="0" w:line="225" w:lineRule="exact"/>
        <w:rPr>
          <w:rFonts w:ascii="Arial" w:cs="Arial" w:eastAsia="Arial" w:hAnsi="Arial"/>
          <w:sz w:val="18"/>
          <w:szCs w:val="18"/>
          <w:color w:val="auto"/>
        </w:rPr>
      </w:pPr>
    </w:p>
    <w:p>
      <w:pPr>
        <w:ind w:left="1780" w:hanging="394"/>
        <w:spacing w:after="0"/>
        <w:tabs>
          <w:tab w:leader="none" w:pos="17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event of default occurs under any Guarantee of any portion of the Obligations;</w:t>
      </w:r>
    </w:p>
    <w:p>
      <w:pPr>
        <w:spacing w:after="0" w:line="225" w:lineRule="exact"/>
        <w:rPr>
          <w:rFonts w:ascii="Arial" w:cs="Arial" w:eastAsia="Arial" w:hAnsi="Arial"/>
          <w:sz w:val="18"/>
          <w:szCs w:val="18"/>
          <w:color w:val="auto"/>
        </w:rPr>
      </w:pPr>
    </w:p>
    <w:p>
      <w:pPr>
        <w:ind w:left="80" w:right="20" w:firstLine="1306"/>
        <w:spacing w:after="0" w:line="277" w:lineRule="auto"/>
        <w:tabs>
          <w:tab w:leader="none" w:pos="174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Borrower makes any payment on account of any Debt that has been subordinated to any of the Obligations, other than payments specifically permitted by the terms of such subordination;</w:t>
      </w:r>
    </w:p>
    <w:p>
      <w:pPr>
        <w:spacing w:after="0" w:line="170" w:lineRule="exact"/>
        <w:rPr>
          <w:rFonts w:ascii="Arial" w:cs="Arial" w:eastAsia="Arial" w:hAnsi="Arial"/>
          <w:sz w:val="18"/>
          <w:szCs w:val="18"/>
          <w:color w:val="auto"/>
        </w:rPr>
      </w:pPr>
    </w:p>
    <w:p>
      <w:pPr>
        <w:jc w:val="both"/>
        <w:ind w:left="80" w:firstLine="1306"/>
        <w:spacing w:after="0" w:line="264" w:lineRule="auto"/>
        <w:tabs>
          <w:tab w:leader="none" w:pos="183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any Borrower is or becomes an entity whose equity is registered with the SEC, and/or is publicly traded on and/or registered with a public securities exchange, such Borrower’s equity fails to remain registered with the SEC in good standing, and/or such equity fails to remain publicly traded on and registered with a public securities exchange;</w:t>
      </w:r>
    </w:p>
    <w:p>
      <w:pPr>
        <w:spacing w:after="0" w:line="181" w:lineRule="exact"/>
        <w:rPr>
          <w:rFonts w:ascii="Arial" w:cs="Arial" w:eastAsia="Arial" w:hAnsi="Arial"/>
          <w:sz w:val="18"/>
          <w:szCs w:val="18"/>
          <w:color w:val="auto"/>
        </w:rPr>
      </w:pPr>
    </w:p>
    <w:p>
      <w:pPr>
        <w:ind w:left="1800" w:hanging="414"/>
        <w:spacing w:after="0"/>
        <w:tabs>
          <w:tab w:leader="none" w:pos="1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occurrence of any fact, event or circumstance that could reasonably be expected to result in a Material Adverse Effect; </w:t>
      </w:r>
      <w:r>
        <w:rPr>
          <w:rFonts w:ascii="Arial" w:cs="Arial" w:eastAsia="Arial" w:hAnsi="Arial"/>
          <w:sz w:val="16"/>
          <w:szCs w:val="16"/>
          <w:i w:val="1"/>
          <w:iCs w:val="1"/>
          <w:color w:val="auto"/>
        </w:rPr>
        <w:t>provided,</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i w:val="1"/>
          <w:iCs w:val="1"/>
          <w:color w:val="auto"/>
        </w:rPr>
        <w:t xml:space="preserve">however, </w:t>
      </w:r>
      <w:r>
        <w:rPr>
          <w:rFonts w:ascii="Arial" w:cs="Arial" w:eastAsia="Arial" w:hAnsi="Arial"/>
          <w:sz w:val="18"/>
          <w:szCs w:val="18"/>
          <w:color w:val="auto"/>
        </w:rPr>
        <w:t>that:</w:t>
      </w:r>
    </w:p>
    <w:p>
      <w:pPr>
        <w:spacing w:after="0" w:line="210" w:lineRule="exact"/>
        <w:rPr>
          <w:rFonts w:ascii="Arial" w:cs="Arial" w:eastAsia="Arial" w:hAnsi="Arial"/>
          <w:sz w:val="16"/>
          <w:szCs w:val="16"/>
          <w:color w:val="auto"/>
        </w:rPr>
      </w:pPr>
    </w:p>
    <w:p>
      <w:pPr>
        <w:jc w:val="both"/>
        <w:ind w:left="660" w:firstLine="1293"/>
        <w:spacing w:after="0" w:line="276" w:lineRule="auto"/>
        <w:tabs>
          <w:tab w:leader="none" w:pos="2378"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failure of any Credit Party to meet any projections of revenues or estimates of revenues that are made public or otherwise disclosed to Agent or Lender shall not, in and of itself, constitute the sole basis for a “Material Adverse Effect” for purposes of this Section 10.1(n) so long as (A) the facts and circumstances underlying any such failure would not otherwise constitute a “Material Adverse Effect”, (B) such failure would not otherwise constitute a Default or Event of Default under any other provision of this Agreement or the other Financing Documents, and (C) the Credit Parties are otherwise in compliance with the provisions of Article 6; and</w:t>
      </w:r>
    </w:p>
    <w:p>
      <w:pPr>
        <w:spacing w:after="0" w:line="172" w:lineRule="exact"/>
        <w:rPr>
          <w:rFonts w:ascii="Arial" w:cs="Arial" w:eastAsia="Arial" w:hAnsi="Arial"/>
          <w:sz w:val="17"/>
          <w:szCs w:val="17"/>
          <w:color w:val="auto"/>
        </w:rPr>
      </w:pPr>
    </w:p>
    <w:p>
      <w:pPr>
        <w:jc w:val="both"/>
        <w:ind w:left="660" w:firstLine="1293"/>
        <w:spacing w:after="0" w:line="279" w:lineRule="auto"/>
        <w:tabs>
          <w:tab w:leader="none" w:pos="2381"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failure of any Credit Party or any Subsidiary thereof to obtain United States FDA approval for Translarna (ataluren) in the United States shall not, in and of itself, constitute the sole basis for a “Material Adverse Effect” for purposes of this Section 10.1(n) so long as (A) the facts and circumstances underlying any such failure would not otherwise constitute a “Material Adverse Effect” and (B) such failure would not otherwise constitute a Default or Event of Default under any other provision of this Agreement or the other Financing Documents.</w:t>
      </w:r>
    </w:p>
    <w:p>
      <w:pPr>
        <w:spacing w:after="0" w:line="171" w:lineRule="exact"/>
        <w:rPr>
          <w:rFonts w:ascii="Arial" w:cs="Arial" w:eastAsia="Arial" w:hAnsi="Arial"/>
          <w:sz w:val="17"/>
          <w:szCs w:val="17"/>
          <w:color w:val="auto"/>
        </w:rPr>
      </w:pPr>
    </w:p>
    <w:p>
      <w:pPr>
        <w:jc w:val="both"/>
        <w:ind w:left="80" w:firstLine="1306"/>
        <w:spacing w:after="0" w:line="264" w:lineRule="auto"/>
        <w:tabs>
          <w:tab w:leader="none" w:pos="17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occurrence of any fact, event or circumstance, including the taking of, or refusal to take, any action by the European Commission or similar Governmental Authority, that results in Borrower, its Subsidiaries or any representative of Borrower or its Subsidiaries losing its marketing authorization for Translarna (ataluren) in the European Economic Area;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25" w:right="239" w:bottom="1440" w:gutter="0" w:footer="0" w:header="0"/>
        </w:sectPr>
      </w:pPr>
    </w:p>
    <w:bookmarkStart w:id="74" w:name="page75"/>
    <w:bookmarkEnd w:id="74"/>
    <w:p>
      <w:pPr>
        <w:jc w:val="both"/>
        <w:ind w:left="80" w:firstLine="1306"/>
        <w:spacing w:after="0" w:line="286" w:lineRule="auto"/>
        <w:tabs>
          <w:tab w:leader="none" w:pos="1891"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without limiting clause (o) above, the voluntary withdrawal or institution of any action or proceeding by the FDA or similar Governmental Authority to order the withdrawal of any material Product or Product category from the market or to enjoin Borrower, its Subsidiaries or any representative of Borrower or its Subsidiaries from manufacturing, marketing, selling or distributing such Product or Product category;</w:t>
      </w:r>
    </w:p>
    <w:p>
      <w:pPr>
        <w:spacing w:after="0" w:line="165" w:lineRule="exact"/>
        <w:rPr>
          <w:rFonts w:ascii="Arial" w:cs="Arial" w:eastAsia="Arial" w:hAnsi="Arial"/>
          <w:sz w:val="17"/>
          <w:szCs w:val="17"/>
          <w:color w:val="auto"/>
        </w:rPr>
      </w:pPr>
    </w:p>
    <w:p>
      <w:pPr>
        <w:jc w:val="both"/>
        <w:ind w:left="80" w:firstLine="1306"/>
        <w:spacing w:after="0" w:line="259" w:lineRule="auto"/>
        <w:tabs>
          <w:tab w:leader="none" w:pos="177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any Credit Party defaults under or breaches, in each case in any material respect, any Material Contract (after any applicable grace period contained therein), (ii) a Material Contract shall be terminated prior to the expiration thereof, or (iii) there is a loss of a material right of a Credit Party under any Material Contract to which it is a party, except, in each case, the extent such event would not reasonably be expected to result in a Material Adverse Effect; or</w:t>
      </w:r>
    </w:p>
    <w:p>
      <w:pPr>
        <w:spacing w:after="0" w:line="186" w:lineRule="exact"/>
        <w:rPr>
          <w:rFonts w:ascii="Arial" w:cs="Arial" w:eastAsia="Arial" w:hAnsi="Arial"/>
          <w:sz w:val="18"/>
          <w:szCs w:val="18"/>
          <w:color w:val="auto"/>
        </w:rPr>
      </w:pPr>
    </w:p>
    <w:p>
      <w:pPr>
        <w:jc w:val="both"/>
        <w:ind w:left="80" w:firstLine="1306"/>
        <w:spacing w:after="0" w:line="264" w:lineRule="auto"/>
        <w:tabs>
          <w:tab w:leader="none" w:pos="1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the Operative Documents shall for any reason fail to constitute the valid and binding agreement of any party thereto, or any Credit Party shall so assert, in each case, unless such Operative Document terminates pursuant to the terms and conditions thereof without any breach or default in any material respect thereunder by any Credit Party thereto.</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cure periods provided for in this Section 10.1 shall run concurrently with any cure period provided for in any applicable Financing Documents under which the default occurred.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Acceleration and Suspension or Termination of Term Loan Commitment</w:t>
      </w:r>
      <w:r>
        <w:rPr>
          <w:rFonts w:ascii="Arial" w:cs="Arial" w:eastAsia="Arial" w:hAnsi="Arial"/>
          <w:sz w:val="17"/>
          <w:szCs w:val="17"/>
          <w:color w:val="auto"/>
        </w:rPr>
        <w:t xml:space="preserve">. Upon the occurrence and during the continuance of an Event of Default, Agent may, and shall if requested by Required Lenders, (a) by notice to Borrower Representative suspend or terminate the Term Loan Commitment and the obligations of Agent and the Lenders with respect thereto, in whole or in part (and, if in part, each Lender’s Term Loan Commitment shall be reduced in accordance with its Pro Rata Share), and/or (b) by notice to Borrower Representative declare all or any portion of the Obligations to be, and the Obligations shall thereupon become, immediately due and payable, with accrued interest thereon, without presentment, demand, protest or other notice of any kind, all of which are hereby waived by each Borrower and Borrowers will pay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any of the Events of Default specified in Section 10.1(e) or 10.1(f) above, without any notice to any Borrower or any other act by Agent or the Lenders, the Term Loan Commitment and the obligations of Agent and the Lenders with respect thereto shall thereupon immediately and automatically terminate and all of the Obligations shall become immediately and automatically due and payable without presentment, demand, protest or other notice of any kind, all of which are hereby waived by each Borrower and Borrowers will pay the same.</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UCC Remedies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9" w:lineRule="auto"/>
        <w:tabs>
          <w:tab w:leader="none" w:pos="178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occurrence of and during the continuance of an Event of Default under this Agreement or the other Financing Documents, Agent, in addition to all other rights, options, and remedies granted to Agent under this Agreement or at law or in equity, may exercise, either directly or through one or more assignees or designees, all rights and remedies granted to it under all Financing Documents and under the UCC in effect in the applicable jurisdiction(s) and under any other applicable law; including, without limitation:</w:t>
      </w:r>
    </w:p>
    <w:p>
      <w:pPr>
        <w:spacing w:after="0" w:line="186" w:lineRule="exact"/>
        <w:rPr>
          <w:rFonts w:ascii="Arial" w:cs="Arial" w:eastAsia="Arial" w:hAnsi="Arial"/>
          <w:sz w:val="18"/>
          <w:szCs w:val="18"/>
          <w:color w:val="auto"/>
        </w:rPr>
      </w:pPr>
    </w:p>
    <w:p>
      <w:pPr>
        <w:ind w:left="2300" w:hanging="347"/>
        <w:spacing w:after="0"/>
        <w:tabs>
          <w:tab w:leader="none" w:pos="230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right to take possession of, send notices regarding, and collect directly the Collateral, with or without judicial process;</w:t>
      </w:r>
    </w:p>
    <w:p>
      <w:pPr>
        <w:spacing w:after="0" w:line="236" w:lineRule="exact"/>
        <w:rPr>
          <w:rFonts w:ascii="Arial" w:cs="Arial" w:eastAsia="Arial" w:hAnsi="Arial"/>
          <w:sz w:val="17"/>
          <w:szCs w:val="17"/>
          <w:color w:val="auto"/>
        </w:rPr>
      </w:pPr>
    </w:p>
    <w:p>
      <w:pPr>
        <w:jc w:val="both"/>
        <w:ind w:left="660" w:firstLine="1293"/>
        <w:spacing w:after="0" w:line="264" w:lineRule="auto"/>
        <w:tabs>
          <w:tab w:leader="none" w:pos="245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right to (by its own means or with judicial assistance) enter any of Borrowers’ premises and take possession of the Collateral, or render it unusable, or to render it usable or saleable, or dispose of the Collateral on such premises in compliance with subsection (iii) below and to take possession of Borrowers’ original books and records, to obtain access to</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1057" w:right="239" w:bottom="1440" w:gutter="0" w:footer="0" w:header="0"/>
        </w:sectPr>
      </w:pPr>
    </w:p>
    <w:bookmarkStart w:id="75" w:name="page76"/>
    <w:bookmarkEnd w:id="75"/>
    <w:p>
      <w:pPr>
        <w:jc w:val="both"/>
        <w:ind w:left="580"/>
        <w:spacing w:after="0" w:line="255" w:lineRule="auto"/>
        <w:rPr>
          <w:sz w:val="20"/>
          <w:szCs w:val="20"/>
          <w:color w:val="auto"/>
        </w:rPr>
      </w:pPr>
      <w:r>
        <w:rPr>
          <w:rFonts w:ascii="Arial" w:cs="Arial" w:eastAsia="Arial" w:hAnsi="Arial"/>
          <w:sz w:val="18"/>
          <w:szCs w:val="18"/>
          <w:color w:val="auto"/>
        </w:rPr>
        <w:t>Borrowers’ data processing equipment, computer hardware and software relating to the Collateral and to use all of the foregoing and the information contained therein in any manner Agent deems appropriate, without any liability for rent, storage, utilities, or other sums, and Borrowers shall not resist or interfere with such action (if Borrowers’ books and records are prepared or maintained by an accounting service, contractor or other third party agent, Borrowers hereby irrevocably authorize such service, contractor or other agent, upon notice by Agent to such Person that an Event of Default has occurred and is continuing, to deliver to Agent or its designees such books and records, and to follow Agent’s instructions with respect to further services to be rendered);</w:t>
      </w:r>
    </w:p>
    <w:p>
      <w:pPr>
        <w:spacing w:after="0" w:line="193" w:lineRule="exact"/>
        <w:rPr>
          <w:sz w:val="20"/>
          <w:szCs w:val="20"/>
          <w:color w:val="auto"/>
        </w:rPr>
      </w:pPr>
    </w:p>
    <w:p>
      <w:pPr>
        <w:ind w:left="580" w:firstLine="1293"/>
        <w:spacing w:after="0" w:line="277" w:lineRule="auto"/>
        <w:tabs>
          <w:tab w:leader="none" w:pos="237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right to require Borrowers at Borrowers’ expense to assemble all or any part of the Collateral and make it available to Agent at any place designated by Lender;</w:t>
      </w:r>
    </w:p>
    <w:p>
      <w:pPr>
        <w:spacing w:after="0" w:line="170" w:lineRule="exact"/>
        <w:rPr>
          <w:rFonts w:ascii="Arial" w:cs="Arial" w:eastAsia="Arial" w:hAnsi="Arial"/>
          <w:sz w:val="18"/>
          <w:szCs w:val="18"/>
          <w:color w:val="auto"/>
        </w:rPr>
      </w:pPr>
    </w:p>
    <w:p>
      <w:pPr>
        <w:ind w:left="580" w:firstLine="1293"/>
        <w:spacing w:after="0" w:line="277" w:lineRule="auto"/>
        <w:tabs>
          <w:tab w:leader="none" w:pos="232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right to notify postal authorities to change the address for delivery of Borrowers’ mail to an address designated by Agent and to receive, open and dispose of all mail addressed to any Borrower; and/or</w:t>
      </w:r>
    </w:p>
    <w:p>
      <w:pPr>
        <w:spacing w:after="0" w:line="170" w:lineRule="exact"/>
        <w:rPr>
          <w:rFonts w:ascii="Arial" w:cs="Arial" w:eastAsia="Arial" w:hAnsi="Arial"/>
          <w:sz w:val="18"/>
          <w:szCs w:val="18"/>
          <w:color w:val="auto"/>
        </w:rPr>
      </w:pPr>
    </w:p>
    <w:p>
      <w:pPr>
        <w:jc w:val="both"/>
        <w:ind w:left="580" w:firstLine="1293"/>
        <w:spacing w:after="0" w:line="255" w:lineRule="auto"/>
        <w:tabs>
          <w:tab w:leader="none" w:pos="22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right to enforce Borrowers’ rights against Account Debtors and other obligors, including, without limitation, (i) the right to collect Accounts directly in Agent’s own name (as agent for Lenders) and to charge the collection costs and expenses, including attorneys’ fees, to Borrowers, and (ii) the right, in the name of Agent or any designee of Agent or Borrowers, to verify the validity, amount or any other matter relating to any Accounts by mail, telephone, telegraph or otherwise, including, without limitation, verification of Borrowers’ compliance with applicable Laws. Borrowers shall cooperate fully with Agent in an effort to facilitate and promptly conclude such verification process. Such verification may include contacts between Agent and applicable federal, state and local regulatory authorities having jurisdiction over the Borrowers’ affairs, all of which contacts Borrowers hereby irrevocably authorize.</w:t>
      </w:r>
    </w:p>
    <w:p>
      <w:pPr>
        <w:spacing w:after="0" w:line="189" w:lineRule="exact"/>
        <w:rPr>
          <w:rFonts w:ascii="Arial" w:cs="Arial" w:eastAsia="Arial" w:hAnsi="Arial"/>
          <w:sz w:val="18"/>
          <w:szCs w:val="18"/>
          <w:color w:val="auto"/>
        </w:rPr>
      </w:pPr>
    </w:p>
    <w:p>
      <w:pPr>
        <w:jc w:val="both"/>
        <w:ind w:firstLine="1306"/>
        <w:spacing w:after="0" w:line="286" w:lineRule="auto"/>
        <w:tabs>
          <w:tab w:leader="none" w:pos="171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Each Borrower agrees that a notice received by it at least ten (10) days before the time of any intended public sale, or the time after which any private sale or other disposition of the Collateral is to be made, shall be deemed to be reasonable notice of such sale or other disposition. If permitted by applicable law, any perishable Collateral which threatens to speedily decline in value or which is sold on a recognized market may be sold immediately by Agent without prior notice to Borrowers. At any sale or disposition of Collateral, Agent may (to the extent permitted by applicable law) purchase all or any part of the Collateral, free from any right of redemption by Borrowers, which right is hereby waived and released. Each Borrower covenants and agrees not to interfere with or impose any obstacle to Agent’s exercise of its rights and remedies with respect to the Collateral. Agent shall have no obligation to clean-up or otherwise prepare the Collateral for sale. Agent may comply with any applicable state or federal law requirements in connection with a disposition of the Collateral and compliance will not be considered to adversely affect the commercial reasonableness of any sale of the Collateral. Agent may sell the Collateral without giving any warranties as to the Collateral. Agent may specifically disclaim any warranties of title or the like. This procedure will not be considered to adversely affect the commercial reasonableness of any sale of the Collateral. If Agent sells any of the Collateral upon credit, Borrowers will be credited only with payments actually made by the purchaser, received by Agent and applied to the indebtedness of the purchaser. In the event the purchaser fails to pay for the Collateral, Agent may resell the Collateral and Borrowers shall be credited with the proceeds of the sale. Borrowers shall remain liable for any deficiency if the proceeds of any sale or disposition of the Collateral are insufficient to pay all Obligations.</w:t>
      </w:r>
    </w:p>
    <w:p>
      <w:pPr>
        <w:spacing w:after="0" w:line="200" w:lineRule="exact"/>
        <w:rPr>
          <w:sz w:val="20"/>
          <w:szCs w:val="20"/>
          <w:color w:val="auto"/>
        </w:rPr>
      </w:pP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340"/>
          </w:cols>
          <w:pgMar w:left="320" w:top="625" w:right="239" w:bottom="1440" w:gutter="0" w:footer="0" w:header="0"/>
        </w:sectPr>
      </w:pPr>
    </w:p>
    <w:bookmarkStart w:id="76" w:name="page77"/>
    <w:bookmarkEnd w:id="76"/>
    <w:p>
      <w:pPr>
        <w:jc w:val="both"/>
        <w:ind w:left="80" w:firstLine="1306"/>
        <w:spacing w:after="0" w:line="291" w:lineRule="auto"/>
        <w:tabs>
          <w:tab w:leader="none" w:pos="1825" w:val="left"/>
        </w:tabs>
        <w:numPr>
          <w:ilvl w:val="1"/>
          <w:numId w:val="103"/>
        </w:numPr>
        <w:rPr>
          <w:rFonts w:ascii="Arial" w:cs="Arial" w:eastAsia="Arial" w:hAnsi="Arial"/>
          <w:sz w:val="16"/>
          <w:szCs w:val="16"/>
          <w:color w:val="auto"/>
        </w:rPr>
      </w:pPr>
      <w:r>
        <w:rPr>
          <w:rFonts w:ascii="Arial" w:cs="Arial" w:eastAsia="Arial" w:hAnsi="Arial"/>
          <w:sz w:val="16"/>
          <w:szCs w:val="16"/>
          <w:color w:val="auto"/>
        </w:rPr>
        <w:t>Without restricting the generality of the foregoing and for the purposes aforesaid, each Borrower hereby appoints and constitutes Agent its lawful attorney-in-fact with full power of substitution in the Collateral, upon the occurrence and during the continuance of an Event of Default, to</w:t>
      </w:r>
    </w:p>
    <w:p>
      <w:pPr>
        <w:jc w:val="both"/>
        <w:ind w:left="80" w:firstLine="9"/>
        <w:spacing w:after="0" w:line="292" w:lineRule="auto"/>
        <w:tabs>
          <w:tab w:leader="none" w:pos="3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use unadvanced funds remaining under this Agreement or which may be reserved, escrowed or set aside for any purposes hereunder at any time, or to advance funds in excess of the face amount of the Notes, (ii) pay, settle or compromise all existing bills and claims, which may be Liens or security interests, or to avoid such bills and claims becoming Liens against the Collateral, (iii) execute all applications and certificates in the name of such Borrower and to prosecute and defend all actions or proceedings in connection with the Collateral, and (iv) do any and every act which such Borrower might do in its own behalf; it being understood and agreed that this power of attorney in this subsection (c) shall be a power coupled with an interest and cannot be revoked.</w:t>
      </w:r>
    </w:p>
    <w:p>
      <w:pPr>
        <w:spacing w:after="0" w:line="162" w:lineRule="exact"/>
        <w:rPr>
          <w:rFonts w:ascii="Arial" w:cs="Arial" w:eastAsia="Arial" w:hAnsi="Arial"/>
          <w:sz w:val="16"/>
          <w:szCs w:val="16"/>
          <w:color w:val="auto"/>
        </w:rPr>
      </w:pPr>
    </w:p>
    <w:p>
      <w:pPr>
        <w:jc w:val="both"/>
        <w:ind w:left="80" w:firstLine="1306"/>
        <w:spacing w:after="0" w:line="257" w:lineRule="auto"/>
        <w:tabs>
          <w:tab w:leader="none" w:pos="184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Agent and each Lender is hereby granted a non-exclusive, royalty-free license or other right to use, without charge, Borrowers’ labels, mask works, rights of use of any name, any other Intellectual Property and advertising matter, and any similar property as it pertains to the Collateral, in completing production of, advertising for sale, and selling any Collateral pursuant to the terms of the Financing Documents and, in connection with Agent’s exercise of its rights under this Article, Borrowers’ rights under all licenses (whether as licensor or licensee) and all franchise agreements inure to Agent’s and each Lender’s benefit.</w:t>
      </w:r>
    </w:p>
    <w:p>
      <w:pPr>
        <w:spacing w:after="0" w:line="18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Intercompany Receivables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64" w:lineRule="auto"/>
        <w:tabs>
          <w:tab w:leader="none" w:pos="18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Agent in its own name or in the name of others may at any time after the occurrence and during the continuance of an Event of Default communicate with obligors under the Intercompany Receivables to verify with them to Agent’s satisfaction the existence, amount and terms of any Intercompany Receivables.</w:t>
      </w:r>
    </w:p>
    <w:p>
      <w:pPr>
        <w:spacing w:after="0" w:line="181" w:lineRule="exact"/>
        <w:rPr>
          <w:rFonts w:ascii="Arial" w:cs="Arial" w:eastAsia="Arial" w:hAnsi="Arial"/>
          <w:sz w:val="18"/>
          <w:szCs w:val="18"/>
          <w:color w:val="auto"/>
        </w:rPr>
      </w:pPr>
    </w:p>
    <w:p>
      <w:pPr>
        <w:jc w:val="both"/>
        <w:ind w:left="80" w:firstLine="1306"/>
        <w:spacing w:after="0" w:line="259" w:lineRule="auto"/>
        <w:tabs>
          <w:tab w:leader="none" w:pos="17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the request of Agent at any time after the occurrence and during the continuance of an Event of Default, Borrower shall notify obligors on the Intercompany Receivables that the Intercompany Receivables have been assigned to the Agent for the ratable benefit of the Lenders and that payments in respect thereof shall be made directly to the Agent or to a Deposit Account that is subject to a Deposit Account Control Agreement and Borrower shall ensure that such payments are so made.</w:t>
      </w:r>
    </w:p>
    <w:p>
      <w:pPr>
        <w:spacing w:after="0" w:line="186" w:lineRule="exact"/>
        <w:rPr>
          <w:rFonts w:ascii="Arial" w:cs="Arial" w:eastAsia="Arial" w:hAnsi="Arial"/>
          <w:sz w:val="18"/>
          <w:szCs w:val="18"/>
          <w:color w:val="auto"/>
        </w:rPr>
      </w:pPr>
    </w:p>
    <w:p>
      <w:pPr>
        <w:jc w:val="both"/>
        <w:ind w:left="80" w:firstLine="1306"/>
        <w:spacing w:after="0" w:line="271" w:lineRule="auto"/>
        <w:tabs>
          <w:tab w:leader="none" w:pos="175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Anything herein to the contrary notwithstanding, each Credit Party shall remain liable under each of the Intercompany Receivables to observe and perform all the conditions and obligations to be observed and performed by it thereunder, all in accordance with the terms of any agreement giving rise thereto. Neither the Agent nor any Lender shall have any obligation or liability under any Intercompany Receivable (or any agreement giving rise thereto) by reason of or arising out of this Agreement or the receipt by the Agent or any Lender of any payment relating thereto, nor shall Agent or any Lender be obligated in any manner to perform any of the obligations of any Credit Party under or pursuant to any Intercompany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Default Rate of Interest</w:t>
      </w:r>
      <w:r>
        <w:rPr>
          <w:rFonts w:ascii="Arial" w:cs="Arial" w:eastAsia="Arial" w:hAnsi="Arial"/>
          <w:sz w:val="18"/>
          <w:szCs w:val="18"/>
          <w:color w:val="auto"/>
        </w:rPr>
        <w:t xml:space="preserve">. At the election of Agent or Required Lenders, after the occurrence of an Event of Default and for so long as it continues, the Loans and other Obligations shall bear interest at rates that are three percent (3.0%) per annum in excess of the rates otherwise payable under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any Event of Default specified in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20"/>
          </w:cols>
          <w:pgMar w:left="240" w:top="1057" w:right="23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Section 10.1(e) or 10.1(f) above, such default rates shall apply immediately and automatically without the need for any election or action of any kind on the part of Agent or any Lender.</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Setoff Rights</w:t>
      </w:r>
      <w:r>
        <w:rPr>
          <w:rFonts w:ascii="Arial" w:cs="Arial" w:eastAsia="Arial" w:hAnsi="Arial"/>
          <w:sz w:val="17"/>
          <w:szCs w:val="17"/>
          <w:color w:val="auto"/>
        </w:rPr>
        <w:t>. During the continuance of any Event of Default, each Lender is hereby authorized by each Borrower at any time or from time to time, with reasonably prompt subsequent notice to such Borrower (any prior or contemporaneous notice being hereby expressly waived) to set off and to appropriate and to apply any and all (a) balances held by such Lender or any of such Lender’s Affiliates at any of its offices for the account of such Borrower or any of its Subsidiaries (regardless of whether such balances are then due to such Borrower or its Subsidiaries), and (b) other property at any time held or owing by such Lender to or for the credit or for the account of such Borrower or any of its Subsidiaries, against and on account of any of the Obligations; except that no Lender shall exercise any such right without the prior written consent of Agent. Any Lender exercising a right to set off shall purchase for cash (and the other Lenders shall sell) interests in each of such other Lender’s Pro Rata Share of the Obligations as would be necessary to cause all Lenders to share the amount so set off with each other Lender in accordance with their respective Pro Rata Share of the Obligations. Each Borrower agrees, to the fullest extent permitted by law, that any Lender and any of such Lender’s Affiliates may exercise its right to set off with respect to the Obligations as provided in this Section 10.6.</w:t>
      </w:r>
    </w:p>
    <w:p>
      <w:pPr>
        <w:spacing w:after="0" w:line="178"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Application of Proceeds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76" w:lineRule="auto"/>
        <w:tabs>
          <w:tab w:leader="none" w:pos="178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upon the occurrence and during the continuance of an Event of Default, each Borrower irrevocably waives the right to direct the application of any and all payments at any time or times thereafter received by Agent from or on behalf of such Borrower or any Guarantor of all or any part of the Obligations, and, as between Borrowers on the one hand and Agent and Lenders on the other, Agent shall have the continuing and exclusive right to apply and to reapply any and all payments received against the Obligations in such manner as Agent may deem advisable notwithstanding any previous application by Agent.</w:t>
      </w:r>
    </w:p>
    <w:p>
      <w:pPr>
        <w:spacing w:after="0" w:line="172" w:lineRule="exact"/>
        <w:rPr>
          <w:rFonts w:ascii="Arial" w:cs="Arial" w:eastAsia="Arial" w:hAnsi="Arial"/>
          <w:sz w:val="17"/>
          <w:szCs w:val="17"/>
          <w:color w:val="auto"/>
        </w:rPr>
      </w:pPr>
    </w:p>
    <w:p>
      <w:pPr>
        <w:jc w:val="both"/>
        <w:ind w:left="80" w:firstLine="1306"/>
        <w:spacing w:after="0" w:line="264" w:lineRule="auto"/>
        <w:tabs>
          <w:tab w:leader="none" w:pos="1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Following the occurrence and continuance of an Event of Default, but absent the occurrence and continuance of an Acceleration Event, Agent shall apply any and all payments received by Agent in respect of the Obligations, and any and all proceeds of Collateral received by Agent, in such order as Agent may from time to time elect.</w:t>
      </w:r>
    </w:p>
    <w:p>
      <w:pPr>
        <w:spacing w:after="0" w:line="181" w:lineRule="exact"/>
        <w:rPr>
          <w:rFonts w:ascii="Arial" w:cs="Arial" w:eastAsia="Arial" w:hAnsi="Arial"/>
          <w:sz w:val="18"/>
          <w:szCs w:val="18"/>
          <w:color w:val="auto"/>
        </w:rPr>
      </w:pPr>
    </w:p>
    <w:p>
      <w:pPr>
        <w:jc w:val="both"/>
        <w:ind w:left="80" w:firstLine="1306"/>
        <w:spacing w:after="0" w:line="269" w:lineRule="auto"/>
        <w:tabs>
          <w:tab w:leader="none" w:pos="176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Agreement, if an Acceleration Event shall have occurred, and so long as it continues, Agent shall apply any and all payments received by Agent in respect of the Obligations, and any and all proceeds of Collateral received by Agent, in the following order: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all fees, costs, indemnities, liabilities, obligations and expenses incurred by or owing to Agent with respect to this Agreement, the other Financing Documents or the Collateral;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all fees, costs, indemnities, liabilities, obligations and expenses incurred by or owing to any Lender with respect to this Agreement, the other Financing Documents or the Collateral;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accrued and unpaid interest on the Obligations (including any interest which, but for the provisions of the Bankruptcy Code, would have accrued on such amounts); </w:t>
      </w:r>
      <w:r>
        <w:rPr>
          <w:rFonts w:ascii="Arial" w:cs="Arial" w:eastAsia="Arial" w:hAnsi="Arial"/>
          <w:sz w:val="17"/>
          <w:szCs w:val="17"/>
          <w:i w:val="1"/>
          <w:iCs w:val="1"/>
          <w:color w:val="auto"/>
        </w:rPr>
        <w:t>fourth</w:t>
      </w:r>
      <w:r>
        <w:rPr>
          <w:rFonts w:ascii="Arial" w:cs="Arial" w:eastAsia="Arial" w:hAnsi="Arial"/>
          <w:sz w:val="17"/>
          <w:szCs w:val="17"/>
          <w:color w:val="auto"/>
        </w:rPr>
        <w:t xml:space="preserve">, to the principal amount of the Obligations outstanding; and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any other indebtedness or obligations of Borrowers owing to Agent or any Lender under the Financing Documents. Any balance remaining shall be delivered to Borrowers or to whomever may be lawfully entitled to receive such balance or as a court of competent jurisdiction may direct. In carrying out the foregoing, (y) amounts received shall be applied in the numerical order provided until exhausted prior to the application to the next succeeding category, and (z) each of the Persons entitled to receive a payment in any particular category shall receive an amount equal to its Pro Rata Share of amounts available to be applied pursuant thereto for such category.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420"/>
          </w:cols>
          <w:pgMar w:left="240" w:top="625" w:right="239" w:bottom="1440" w:gutter="0" w:footer="0" w:header="0"/>
        </w:sectPr>
      </w:pPr>
    </w:p>
    <w:bookmarkStart w:id="78" w:name="page79"/>
    <w:bookmarkEnd w:id="78"/>
    <w:p>
      <w:pPr>
        <w:ind w:left="580"/>
        <w:spacing w:after="0"/>
        <w:tabs>
          <w:tab w:leader="none" w:pos="16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5"/>
          <w:szCs w:val="15"/>
          <w:u w:val="single" w:color="auto"/>
          <w:color w:val="auto"/>
        </w:rPr>
        <w:t>Waivers</w:t>
      </w:r>
      <w:r>
        <w:rPr>
          <w:rFonts w:ascii="Arial" w:cs="Arial" w:eastAsia="Arial" w:hAnsi="Arial"/>
          <w:sz w:val="15"/>
          <w:szCs w:val="15"/>
          <w:color w:val="auto"/>
        </w:rPr>
        <w:t>.</w:t>
      </w:r>
    </w:p>
    <w:p>
      <w:pPr>
        <w:spacing w:after="0" w:line="225" w:lineRule="exact"/>
        <w:rPr>
          <w:sz w:val="20"/>
          <w:szCs w:val="20"/>
          <w:color w:val="auto"/>
        </w:rPr>
      </w:pPr>
    </w:p>
    <w:p>
      <w:pPr>
        <w:ind w:left="1760" w:hanging="454"/>
        <w:spacing w:after="0"/>
        <w:tabs>
          <w:tab w:leader="none" w:pos="176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Except as otherwise provided for in this Agreement and to the fullest extent permitted by applicable law, each Borrower waives:</w:t>
      </w:r>
    </w:p>
    <w:p>
      <w:pPr>
        <w:spacing w:after="0" w:line="34" w:lineRule="exact"/>
        <w:rPr>
          <w:rFonts w:ascii="Arial" w:cs="Arial" w:eastAsia="Arial" w:hAnsi="Arial"/>
          <w:sz w:val="17"/>
          <w:szCs w:val="17"/>
          <w:color w:val="auto"/>
        </w:rPr>
      </w:pPr>
    </w:p>
    <w:p>
      <w:pPr>
        <w:jc w:val="both"/>
        <w:ind w:firstLine="9"/>
        <w:spacing w:after="0" w:line="252" w:lineRule="auto"/>
        <w:tabs>
          <w:tab w:leader="none" w:pos="2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presentment, demand and protest, and notice of presentment, dishonor, intent to accelerate, acceleration, protest, default, nonpayment, maturity, release, compromise, settlement, extension or renewal of any or all Financing Documents, the Notes or any other notes, commercial paper, accounts, contracts, documents, Instruments, Chattel Paper and Guarantees at any time held by Lenders on which any Borrower may in any way be liable, and hereby ratifies and confirms whatever Lenders may do in this regard; (ii) all rights to notice and a hearing prior to Agent’s or any Lender’s taking possession or control of, or to Agent’s or any Lender’s replevy, attachment or levy upon, any Collateral or any bond or security which might be required by any court prior to allowing Agent or any Lender to exercise any of its remedies; and (iii) the benefit of all valuation, appraisal and exemption Laws. Each Borrower acknowledges that it has been advised by counsel of its choices and decisions with respect to this Agreement, the other Financing Documents and the transactions evidenced hereby and thereby.</w:t>
      </w:r>
    </w:p>
    <w:p>
      <w:pPr>
        <w:spacing w:after="0" w:line="191" w:lineRule="exact"/>
        <w:rPr>
          <w:rFonts w:ascii="Arial" w:cs="Arial" w:eastAsia="Arial" w:hAnsi="Arial"/>
          <w:sz w:val="18"/>
          <w:szCs w:val="18"/>
          <w:color w:val="auto"/>
        </w:rPr>
      </w:pPr>
    </w:p>
    <w:p>
      <w:pPr>
        <w:jc w:val="both"/>
        <w:ind w:firstLine="1306"/>
        <w:spacing w:after="0" w:line="271" w:lineRule="auto"/>
        <w:tabs>
          <w:tab w:leader="none" w:pos="1754" w:val="left"/>
        </w:tabs>
        <w:numPr>
          <w:ilvl w:val="1"/>
          <w:numId w:val="108"/>
        </w:numPr>
        <w:rPr>
          <w:rFonts w:ascii="Arial" w:cs="Arial" w:eastAsia="Arial" w:hAnsi="Arial"/>
          <w:sz w:val="17"/>
          <w:szCs w:val="17"/>
          <w:color w:val="auto"/>
        </w:rPr>
      </w:pPr>
      <w:r>
        <w:rPr>
          <w:rFonts w:ascii="Arial" w:cs="Arial" w:eastAsia="Arial" w:hAnsi="Arial"/>
          <w:sz w:val="17"/>
          <w:szCs w:val="17"/>
          <w:color w:val="auto"/>
        </w:rPr>
        <w:t>Each Borrower for itself and all its successors and assigns, (i) agrees that its liability shall not be in any manner affected by any indulgence, extension of time, renewal, waiver, or modification granted or consented to by Lender; (ii) consents to any indulgences and all extensions of time, renewals, waivers, or modifications that may be granted by Agent or any Lender with respect to the payment or other provisions of the Financing Documents, and to any substitution, exchange or release of the Collateral, or any part thereof, with or without substitution, and agrees to the addition or release of any Borrower, endorsers, guarantors, or sureties, or whether primarily or secondarily liable, without notice to any other Borrower and without affecting its liability hereunder; (iii) agrees that its liability shall be unconditional and without regard to the liability of any other Borrower, Agent or any Lender for any tax on the indebtedness; and (iv) to the fullest extent permitted by law, expressly waives the benefit of any statute or rule of law or equity now provided, or which may hereafter be provided, which would produce a result contrary to or in conflict with the foregoing.</w:t>
      </w:r>
    </w:p>
    <w:p>
      <w:pPr>
        <w:spacing w:after="0" w:line="178" w:lineRule="exact"/>
        <w:rPr>
          <w:rFonts w:ascii="Arial" w:cs="Arial" w:eastAsia="Arial" w:hAnsi="Arial"/>
          <w:sz w:val="17"/>
          <w:szCs w:val="17"/>
          <w:color w:val="auto"/>
        </w:rPr>
      </w:pPr>
    </w:p>
    <w:p>
      <w:pPr>
        <w:jc w:val="both"/>
        <w:ind w:firstLine="1306"/>
        <w:spacing w:after="0" w:line="269" w:lineRule="auto"/>
        <w:tabs>
          <w:tab w:leader="none" w:pos="1687" w:val="left"/>
        </w:tabs>
        <w:numPr>
          <w:ilvl w:val="1"/>
          <w:numId w:val="108"/>
        </w:numPr>
        <w:rPr>
          <w:rFonts w:ascii="Arial" w:cs="Arial" w:eastAsia="Arial" w:hAnsi="Arial"/>
          <w:sz w:val="17"/>
          <w:szCs w:val="17"/>
          <w:color w:val="auto"/>
        </w:rPr>
      </w:pPr>
      <w:r>
        <w:rPr>
          <w:rFonts w:ascii="Arial" w:cs="Arial" w:eastAsia="Arial" w:hAnsi="Arial"/>
          <w:sz w:val="17"/>
          <w:szCs w:val="17"/>
          <w:color w:val="auto"/>
        </w:rPr>
        <w:t>To the extent that Agent or any Lender may have acquiesced in any noncompliance with any requirements or conditions precedent to the closing of the Loans or to any subsequent disbursement of Loan proceeds, such acquiescence shall not be deemed to constitute a waiver by Agent or any Lender of such requirements with respect to any future disbursements of Loan proceeds and Agent may at any time after such acquiescence require Borrowers to comply with all such requirements. Any forbearance by Agent or Lender in exercising any right or remedy under any of the Financing Documents, or otherwise afforded by applicable law, including any failure to accelerate the maturity date of the Loans, shall not be a waiver of or preclude the exercise of any right or remedy nor shall it serve as a novation of the Notes or as a reinstatement of the Loans or a waiver of such right of acceleration or the right to insist upon strict compliance of the terms of the Financing Documents. Agent’s or any Lender’s acceptance of payment of any sum secured by any of the Financing Documents after the due date of such payment shall not be a waiver of Agent’s and such Lender’s right to either require prompt payment when due of all other sums so secured or to declare a default for failure to make prompt payment. The procurement of insurance or the payment of taxes or other Liens or charges by Agent as the result of an Event of Default shall not be a waiver of Agent’s right to accelerate the maturity of the Loans, nor shall Agent’s receipt of any condemnation awards, insurance proceeds, or damages under this Agreement operate to cure or waive any Credit Party’s default in payment of sums secured by any of the Financing Documents.</w:t>
      </w:r>
    </w:p>
    <w:p>
      <w:pPr>
        <w:spacing w:after="0" w:line="179" w:lineRule="exact"/>
        <w:rPr>
          <w:rFonts w:ascii="Arial" w:cs="Arial" w:eastAsia="Arial" w:hAnsi="Arial"/>
          <w:sz w:val="17"/>
          <w:szCs w:val="17"/>
          <w:color w:val="auto"/>
        </w:rPr>
      </w:pPr>
    </w:p>
    <w:p>
      <w:pPr>
        <w:jc w:val="both"/>
        <w:ind w:firstLine="1306"/>
        <w:spacing w:after="0" w:line="342" w:lineRule="auto"/>
        <w:tabs>
          <w:tab w:leader="none" w:pos="174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Without limiting the generality of anything contained in this Agreement or the other Financing Documents, each Borrower agrees that if an Event of Default is continuing (i) Agent and Lenders shall not be subject to any “one action” or “election of remedies” law or rule, and (ii) all Liens</w:t>
      </w:r>
    </w:p>
    <w:p>
      <w:pPr>
        <w:spacing w:after="0" w:line="37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340"/>
          </w:cols>
          <w:pgMar w:left="320" w:top="625" w:right="239" w:bottom="1440" w:gutter="0" w:footer="0" w:header="0"/>
        </w:sectPr>
      </w:pPr>
    </w:p>
    <w:bookmarkStart w:id="79" w:name="page80"/>
    <w:bookmarkEnd w:id="79"/>
    <w:p>
      <w:pPr>
        <w:jc w:val="both"/>
        <w:spacing w:after="0" w:line="312" w:lineRule="auto"/>
        <w:rPr>
          <w:sz w:val="20"/>
          <w:szCs w:val="20"/>
          <w:color w:val="auto"/>
        </w:rPr>
      </w:pPr>
      <w:r>
        <w:rPr>
          <w:rFonts w:ascii="Arial" w:cs="Arial" w:eastAsia="Arial" w:hAnsi="Arial"/>
          <w:sz w:val="16"/>
          <w:szCs w:val="16"/>
          <w:color w:val="auto"/>
        </w:rPr>
        <w:t>and other rights, remedies or privileges provided to Agent or Lenders shall remain in full force and effect until Agent or Lenders have exhausted all remedies against the Collateral and any other properties owned by Borrowers and the Financing Documents and other security instruments or agreements securing the Loans have been foreclosed, sold and/or otherwise realized upon in satisfaction of Borrowers’ obligations under the Financing Documents.</w:t>
      </w:r>
    </w:p>
    <w:p>
      <w:pPr>
        <w:spacing w:after="0" w:line="147" w:lineRule="exact"/>
        <w:rPr>
          <w:sz w:val="20"/>
          <w:szCs w:val="20"/>
          <w:color w:val="auto"/>
        </w:rPr>
      </w:pPr>
    </w:p>
    <w:p>
      <w:pPr>
        <w:jc w:val="both"/>
        <w:ind w:left="80" w:firstLine="1306"/>
        <w:spacing w:after="0" w:line="269" w:lineRule="auto"/>
        <w:tabs>
          <w:tab w:leader="none" w:pos="17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Nothing contained herein or in any other Financing Document shall be construed as requiring Agent or any Lender to resort to any part of the Collateral for the satisfaction of any of Borrowers’ obligations under the Financing Documents in preference or priority to any other Collateral, and Agent may seek satisfaction out of all of the Collateral or any part thereof, in its absolute discretion in respect of Borrowers’ obligations under the Financing Documents. In addition, Agent shall have the right from time to time to partially foreclose upon any Collateral in any manner and for any amounts secured by the Financing Documents then due and payable as determined by Agent in its sole discretion, including, without limitation, the following circumstances: (i) in the event any Borrower defaults beyond any applicable grace period in the payment of one or more scheduled payments of principal and/or interest, Agent may foreclose upon all or any part of the Collateral to recover such delinquent payments, or (ii) in the event Agent elects to accelerate less than the entire outstanding principal balance of the Loans, Agent may foreclose all or any part of the Collateral to recover so much of the principal balance of the Loans as Lender may accelerate and such other sums secured by one or more of the Financing Documents as Agent may elect. Notwithstanding one or more partial foreclosures, any unforeclosed Collateral shall remain subject to the Financing Documents to secure payment of sums secured by the Financing Documents and not previously recovered.</w:t>
      </w:r>
    </w:p>
    <w:p>
      <w:pPr>
        <w:spacing w:after="0" w:line="182" w:lineRule="exact"/>
        <w:rPr>
          <w:rFonts w:ascii="Arial" w:cs="Arial" w:eastAsia="Arial" w:hAnsi="Arial"/>
          <w:sz w:val="17"/>
          <w:szCs w:val="17"/>
          <w:color w:val="auto"/>
        </w:rPr>
      </w:pPr>
    </w:p>
    <w:p>
      <w:pPr>
        <w:jc w:val="both"/>
        <w:ind w:left="80" w:firstLine="1306"/>
        <w:spacing w:after="0" w:line="257" w:lineRule="auto"/>
        <w:tabs>
          <w:tab w:leader="none" w:pos="1766"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fullest extent permitted by law, each Borrower, for itself and its successors and assigns, waives in the event of foreclosure of any or all of the Collateral any equitable right otherwise available to any Credit Party which would require the separate sale of any of the Collateral or require Agent or Lenders to exhaust their remedies against any part of the Collateral before proceeding against any other part of the Collateral; and further in the event of such foreclosure each Borrower does hereby expressly consent to and authorize, at the option of Agent, the foreclosure and sale either separately or together of each part of the Collateral.</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Injunctive Relief</w:t>
      </w:r>
      <w:r>
        <w:rPr>
          <w:rFonts w:ascii="Arial" w:cs="Arial" w:eastAsia="Arial" w:hAnsi="Arial"/>
          <w:sz w:val="17"/>
          <w:szCs w:val="17"/>
          <w:color w:val="auto"/>
        </w:rPr>
        <w:t>. The parties acknowledge and agree that, in the event of a breach or threatened breach of any Credit Party’s obligations under any Financing Documents, Agent and Lenders may have no adequate remedy in money damages and, accordingly, shall be entitled to an injunction (including, without limitation, a temporary restraining order, preliminary injunction, writ of attachment, or order compelling an audit) against such breach or threatened breach, including, without limitation, maintaining any cash management and collection procedure described herein. However, no specification in this Agreement of a specific legal or equitable remedy shall be construed as a waiver or prohibition against any other legal or equitable remedies in the event of a breach or threatened breach of any provision of this Agreement. Each Credit Party waives, to the fullest extent permitted by law, the requirement of the posting of any bond in connection with such injunctive relief. By joining in the Financing Documents as a Credit Party, each Credit Party specifically joins in this Section as if this Section were a part of each Financing Document executed by such Credit Party.</w:t>
      </w:r>
    </w:p>
    <w:p>
      <w:pPr>
        <w:spacing w:after="0" w:line="1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Marshalling; Payments Set Aside</w:t>
      </w:r>
      <w:r>
        <w:rPr>
          <w:rFonts w:ascii="Arial" w:cs="Arial" w:eastAsia="Arial" w:hAnsi="Arial"/>
          <w:sz w:val="16"/>
          <w:szCs w:val="16"/>
          <w:color w:val="auto"/>
        </w:rPr>
        <w:t>. Neither Agent nor any Lender shall be under any obligation to marshal any assets in payment of any or all of the Obligations. To the extent that Borrower makes any payment or Agent enforces its Liens or Agent or any Lender exercises its right of set-off, and such payment or the proceeds of such enforcement or set-off is subsequently invalidated, declared to be fraudulent or preferential, set aside, or required to be repaid by anyone, then to the extent of such recovery, the Obligations or part thereof originally intended to be satisfied, and all Liens,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20"/>
          </w:cols>
          <w:pgMar w:left="240" w:top="625"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and remedies therefor, shall be revived and continued in full force and effect as if such payment had not been made or such enforcement or set-off had not occurred.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AGENT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Appointment and Authorization</w:t>
      </w:r>
      <w:r>
        <w:rPr>
          <w:rFonts w:ascii="Arial" w:cs="Arial" w:eastAsia="Arial" w:hAnsi="Arial"/>
          <w:sz w:val="16"/>
          <w:szCs w:val="16"/>
          <w:color w:val="auto"/>
        </w:rPr>
        <w:t>. Each Lender hereby irrevocably appoints and authorizes Agent to enter into each of the Financing Documents to which it is a party (other than this Agreement) on its behalf and to take such actions as Agent on its behalf and to exercise such powers under the Financing Documents as are delegated to Agent by the terms thereof, together with all such powers as are reasonably incidental thereto. Subject to the terms of Section 11.16 and to the terms of the other Financing Documents, Agent is authorized and empowered to amend, modify, or waive any provisions of this Agreement or the other Financing Documents on behalf of Lenders. The provisions of this Article 11 are solely for the benefit of Agent and Lenders and neither any Borrower nor any other Credit Party shall have any rights as a third party beneficiary of any of the provisions hereof. In performing its functions and duties under this Agreement, Agent shall act solely as agent of Lenders and does not assume and shall not be deemed to have assumed any obligation toward or relationship of agency or trust with or for any Borrower or any other Credit Party. Agent may perform any of its duties hereunder, or under the Financing Documents, by or through its agents, servicers, trustees, investment managers or employees.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Agent and Affiliates</w:t>
      </w:r>
      <w:r>
        <w:rPr>
          <w:rFonts w:ascii="Arial" w:cs="Arial" w:eastAsia="Arial" w:hAnsi="Arial"/>
          <w:sz w:val="18"/>
          <w:szCs w:val="18"/>
          <w:color w:val="auto"/>
        </w:rPr>
        <w:t>. Agent shall have the same rights and powers under the Financing Documents as any other Lender and may exercise or refrain from exercising the same as though it were not Agent, and Agent and its Affiliates may lend money to, invest in and generally engage in any kind of business with each Credit Party or Affiliate of any Credit Party as if it were not Agent hereunder.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Action by Agent</w:t>
      </w:r>
      <w:r>
        <w:rPr>
          <w:rFonts w:ascii="Arial" w:cs="Arial" w:eastAsia="Arial" w:hAnsi="Arial"/>
          <w:sz w:val="18"/>
          <w:szCs w:val="18"/>
          <w:color w:val="auto"/>
        </w:rPr>
        <w:t>. The duties of Agent shall be mechanical and administrative in nature. Agent shall not have by reason of this Agreement a fiduciary relationship in respect of any Lender. Nothing in this Agreement or any of the Financing Documents is intended to or shall be construed to impose upon Agent any obligations in respect of this Agreement or any of the Financing Documents except as expressly set forth herein or therein.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Consultation with Experts</w:t>
      </w:r>
      <w:r>
        <w:rPr>
          <w:rFonts w:ascii="Arial" w:cs="Arial" w:eastAsia="Arial" w:hAnsi="Arial"/>
          <w:sz w:val="16"/>
          <w:szCs w:val="16"/>
          <w:color w:val="auto"/>
        </w:rPr>
        <w:t>. Agent may consult with legal counsel, independent public accountants and other experts selected by it and shall not be liable for any action taken or omitted to be taken by it in good faith in accordance with the advice of such counsel, accountants or experts.</w:t>
      </w:r>
    </w:p>
    <w:p>
      <w:pPr>
        <w:spacing w:after="0" w:line="12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Liability of Agent</w:t>
      </w:r>
      <w:r>
        <w:rPr>
          <w:rFonts w:ascii="Arial" w:cs="Arial" w:eastAsia="Arial" w:hAnsi="Arial"/>
          <w:sz w:val="16"/>
          <w:szCs w:val="16"/>
          <w:color w:val="auto"/>
        </w:rPr>
        <w:t>. Neither Agent nor any of its directors, officers, agents, trustees, investment managers, servicers or employees shall be liable to any Lender for any action taken or not taken by it in connection with the Financing Documents, except that Agent shall be liable with respect to its specific duties set forth hereunder but only to the extent of its own gross negligence or willful misconduct in the discharge thereof as determined by a final non-appealable judgment of a court of competent jurisdiction. Neither Agent nor any of its directors, officers, agents, trustees, investment managers, servicers or employees shall be responsible for or have any duty to ascertain, inquire into or verify (a) any statement, warranty or representation made in connection with any Financing Document or any borrowing hereunder; (b) the performance or observance of any of the covenants or agreements specified in any Financing Document; (c) the satisfaction of any condition specified in any Financing Document; (d) the validity, effectiveness, sufficiency or genuineness of any Financing Document, any Lien purported to be created or perfected thereby or any other instrument or writing furnished in connection therewith; (e) the existence or non-existence of any Default or Event of Default; or (f) the financial condition of any Credit Party. Agent shall not incur any liability by acting in reliance upon any notice, consent, certificate, statement, or other writing (which may be a bank wire, facsimile or electronic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20"/>
          </w:cols>
          <w:pgMar w:left="240" w:top="625" w:right="239" w:bottom="1440" w:gutter="0" w:footer="0" w:header="0"/>
        </w:sectPr>
      </w:pPr>
    </w:p>
    <w:bookmarkStart w:id="81" w:name="page82"/>
    <w:bookmarkEnd w:id="81"/>
    <w:p>
      <w:pPr>
        <w:jc w:val="both"/>
        <w:spacing w:after="0" w:line="302" w:lineRule="auto"/>
        <w:rPr>
          <w:sz w:val="20"/>
          <w:szCs w:val="20"/>
          <w:color w:val="auto"/>
        </w:rPr>
      </w:pPr>
      <w:r>
        <w:rPr>
          <w:rFonts w:ascii="Arial" w:cs="Arial" w:eastAsia="Arial" w:hAnsi="Arial"/>
          <w:sz w:val="16"/>
          <w:szCs w:val="16"/>
          <w:color w:val="auto"/>
        </w:rPr>
        <w:t>transmission or similar writing) believed by it to be genuine or to be signed by the proper party or parties. Agent shall not be liable for any apportionment or distribution of payments made by it in good faith and if any such apportionment or distribution is subsequently determined to have been made in error the sole recourse of any Lender to whom payment was due but not made, shall be to recover from other Lenders any payment in excess of the amount to which they are determined to be entitled (and such other Lenders hereby agree to return to such Lender any such erroneous payments received by them).</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11.6 </w:t>
      </w:r>
      <w:r>
        <w:rPr>
          <w:rFonts w:ascii="Arial" w:cs="Arial" w:eastAsia="Arial" w:hAnsi="Arial"/>
          <w:sz w:val="17"/>
          <w:szCs w:val="17"/>
          <w:u w:val="single" w:color="auto"/>
          <w:color w:val="auto"/>
        </w:rPr>
        <w:t>Indemnification</w:t>
      </w:r>
      <w:r>
        <w:rPr>
          <w:rFonts w:ascii="Arial" w:cs="Arial" w:eastAsia="Arial" w:hAnsi="Arial"/>
          <w:sz w:val="17"/>
          <w:szCs w:val="17"/>
          <w:color w:val="auto"/>
        </w:rPr>
        <w:t>. Each Lender shall, in accordance with its Pro Rata Share, indemnify Agent (to the extent not reimbursed by Borrowers) upon demand against any cost, expense (including counsel fees and disbursements), claim, demand, action, loss or liability (except such as result from Agent’s gross negligence or willful misconduct as determined by a final non-appealable judgment of a court of competent jurisdiction) that Agent may suffer or incur in connection with the Financing Documents or any action taken or omitted by Agent hereunder or thereunder. If any indemnity furnished to Agent for any purpose shall, in the opinion of Agent, be insufficient or become impaired, Agent may call for additional indemnity and cease, or not commence, to do the acts indemnified against even if so directed by Required Lenders until such additional indemnity is furnished.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11.7 </w:t>
      </w:r>
      <w:r>
        <w:rPr>
          <w:rFonts w:ascii="Arial" w:cs="Arial" w:eastAsia="Arial" w:hAnsi="Arial"/>
          <w:sz w:val="17"/>
          <w:szCs w:val="17"/>
          <w:u w:val="single" w:color="auto"/>
          <w:color w:val="auto"/>
        </w:rPr>
        <w:t>Right to Request and Act on Instructions</w:t>
      </w:r>
      <w:r>
        <w:rPr>
          <w:rFonts w:ascii="Arial" w:cs="Arial" w:eastAsia="Arial" w:hAnsi="Arial"/>
          <w:sz w:val="17"/>
          <w:szCs w:val="17"/>
          <w:color w:val="auto"/>
        </w:rPr>
        <w:t>. Agent may at any time request instructions from Lenders with respect to any actions or approvals which by the terms of this Agreement or of any of the Financing Documents Agent is permitted or desires to take or to grant, and if such instructions are promptly requested, Agent shall be absolutely entitled to refrain from taking any action or to withhold any approval and shall not be under any liability whatsoever to any Person for refraining from any action or withholding any approval under any of the Financing Documents until it shall have received such instructions from Required Lenders or all or such other portion of the Lenders as shall be prescribed by this Agreement. Without limiting the foregoing, no Lender shall have any right of action whatsoever against Agent as a result of Agent acting or refraining from acting under this Agreement or any of the other Financing Documents in accordance with the instructions of Required Lenders (or all or such other portion of the Lenders as shall be prescribed by this Agreement) and, notwithstanding the instructions of Required Lenders (or such other applicable portion of the Lenders), Agent shall have no obligation to take any action if it believes, in good faith, that such action would violate applicable Law or exposes Agent to any liability for which it has not received satisfactory indemnification in accordance with the provisions of Section 11.6.</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u w:val="single" w:color="auto"/>
          <w:color w:val="auto"/>
        </w:rPr>
        <w:t>Credit Decision</w:t>
      </w:r>
      <w:r>
        <w:rPr>
          <w:rFonts w:ascii="Arial" w:cs="Arial" w:eastAsia="Arial" w:hAnsi="Arial"/>
          <w:sz w:val="16"/>
          <w:szCs w:val="16"/>
          <w:color w:val="auto"/>
        </w:rPr>
        <w:t>. Each Lender acknowledges that it has, independently and without reliance upon Agent or any other Lender, and based on such documents and information as it has deemed appropriate, made its own credit analysis and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any action under the Financing Documents.</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Collateral Matters</w:t>
      </w:r>
      <w:r>
        <w:rPr>
          <w:rFonts w:ascii="Arial" w:cs="Arial" w:eastAsia="Arial" w:hAnsi="Arial"/>
          <w:sz w:val="16"/>
          <w:szCs w:val="16"/>
          <w:color w:val="auto"/>
        </w:rPr>
        <w:t>. Lenders irrevocably authorize Agent, at its option and in its discretion, to (a) release any Lien granted to or held by Agent under any Security Document (i) upon termination of the Term Loan Commitment and payment in full of all Obligations; or (ii) constituting property sold or disposed of as part of or in connection with any disposition permitted under any Financing Document (it being understood and agreed that Agent may conclusively rely without further inquiry on a certificate of a Responsible Officer as to the sale or other disposition of property being made in full compliance with the provisions of the Financing Documents); and (b) subordinate any Lien granted to or held by Agent under any Security Document to a Permitted Lien that is allowed to have priority over the Liens granted to or held by Agent pursuant to the definition of “Permitted Liens”. Upon request by Agent at any time, Lenders will confirm Agent’s authority to release and/or subordinate particular types or items of Collateral pursuant to this Section 11.9.</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625" w:right="239" w:bottom="1440" w:gutter="0" w:footer="0" w:header="0"/>
        </w:sectPr>
      </w:pPr>
    </w:p>
    <w:bookmarkStart w:id="82" w:name="page83"/>
    <w:bookmarkEnd w:id="82"/>
    <w:p>
      <w:pPr>
        <w:jc w:val="both"/>
        <w:ind w:firstLine="648"/>
        <w:spacing w:after="0" w:line="255" w:lineRule="auto"/>
        <w:rPr>
          <w:sz w:val="20"/>
          <w:szCs w:val="20"/>
          <w:color w:val="auto"/>
        </w:rPr>
      </w:pPr>
      <w:r>
        <w:rPr>
          <w:rFonts w:ascii="Arial" w:cs="Arial" w:eastAsia="Arial" w:hAnsi="Arial"/>
          <w:sz w:val="18"/>
          <w:szCs w:val="18"/>
          <w:color w:val="auto"/>
        </w:rPr>
        <w:t xml:space="preserve">Section 11.10 </w:t>
      </w:r>
      <w:r>
        <w:rPr>
          <w:rFonts w:ascii="Arial" w:cs="Arial" w:eastAsia="Arial" w:hAnsi="Arial"/>
          <w:sz w:val="18"/>
          <w:szCs w:val="18"/>
          <w:u w:val="single" w:color="auto"/>
          <w:color w:val="auto"/>
        </w:rPr>
        <w:t>Agency for Perfection</w:t>
      </w:r>
      <w:r>
        <w:rPr>
          <w:rFonts w:ascii="Arial" w:cs="Arial" w:eastAsia="Arial" w:hAnsi="Arial"/>
          <w:sz w:val="18"/>
          <w:szCs w:val="18"/>
          <w:color w:val="auto"/>
        </w:rPr>
        <w:t>. Agent and each Lender hereby appoint each other Lender as agent for the purpose of perfecting Agent’s security interest in assets which, in accordance with the Uniform Commercial Code in any applicable jurisdiction, can be perfected by possession or control. Should any Lender (other than Agent) obtain possession or control of any such assets, such Lender shall notify Agent thereof, and, promptly upon Agent’s request therefor, shall deliver such assets to Agent or in accordance with Agent’s instructions or transfer control to Agent in accordance with Agent’s instructions. Each Lender agrees that it will not have any right individually to enforce or seek to enforce any Security Document or to realize upon any Collateral for the Loan unless instructed to do so by Agent (or consented to by Agent), it being understood and agreed that such rights and remedies may be exercised only by Agent.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Notice of Default</w:t>
      </w:r>
      <w:r>
        <w:rPr>
          <w:rFonts w:ascii="Arial" w:cs="Arial" w:eastAsia="Arial" w:hAnsi="Arial"/>
          <w:sz w:val="17"/>
          <w:szCs w:val="17"/>
          <w:color w:val="auto"/>
        </w:rPr>
        <w:t>. Agent shall not be deemed to have knowledge or notice of the occurrence of any Default or Event of Default except with respect to defaults in the payment of principal, interest and fees required to be paid to Agent for the account of Lenders, unless Agent shall have received written notice from a Lender or a Borrower referring to this Agreement, describing such Default or Event of Default and stating that such notice is a “notice of default”. Agent will notify each Lender of its receipt of any such notice. Agent shall take such action with respect to such Default or Event of Default as may be requested by Required Lenders (or all or such other portion of the Lenders as shall be prescribed by this Agreement) in accordance with the terms hereof. Unless and until Agent has received any such request, Agent may (but shall not be obligated to) take such action, or refrain from taking such action, with respect to such Default or Event of Default as it shall deem advisable or in the best interests of Lenders.</w:t>
      </w:r>
    </w:p>
    <w:p>
      <w:pPr>
        <w:spacing w:after="0" w:line="17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11.12</w:t>
      </w:r>
      <w:r>
        <w:rPr>
          <w:sz w:val="20"/>
          <w:szCs w:val="20"/>
          <w:color w:val="auto"/>
        </w:rPr>
        <w:tab/>
      </w:r>
      <w:r>
        <w:rPr>
          <w:rFonts w:ascii="Arial" w:cs="Arial" w:eastAsia="Arial" w:hAnsi="Arial"/>
          <w:sz w:val="16"/>
          <w:szCs w:val="16"/>
          <w:u w:val="single" w:color="auto"/>
          <w:color w:val="auto"/>
        </w:rPr>
        <w:t>Assignment by Agent; Resignation of Agent; Successor Agent</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5" w:lineRule="auto"/>
        <w:tabs>
          <w:tab w:leader="none" w:pos="17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Agent may at any time assign its rights, powers, privileges and duties hereunder to (i) another Lender or an Affiliate of Agent or any Lender or any Approved Fund, or (ii) any Person to whom Agent, in its capacity as a Lender, has assigned (or will assign, in conjunction with such assignment of agency rights hereunder) 50% or more of its Loan, in each case without the consent of the Lenders or Borrowers. Following any such assignment, Agent shall give notice to the Lenders and Borrowers. Failure to give such notice shall not affect such assignment in any way or cause the assignment to be ineffective. An assignment by Agent pursuant to this subsection (a) shall not be deemed a resignation by Agent for purposes of subsection (b) below.</w:t>
      </w:r>
    </w:p>
    <w:p>
      <w:pPr>
        <w:spacing w:after="0" w:line="193" w:lineRule="exact"/>
        <w:rPr>
          <w:rFonts w:ascii="Arial" w:cs="Arial" w:eastAsia="Arial" w:hAnsi="Arial"/>
          <w:sz w:val="18"/>
          <w:szCs w:val="18"/>
          <w:color w:val="auto"/>
        </w:rPr>
      </w:pPr>
    </w:p>
    <w:p>
      <w:pPr>
        <w:jc w:val="both"/>
        <w:ind w:left="80" w:firstLine="1306"/>
        <w:spacing w:after="0" w:line="270" w:lineRule="auto"/>
        <w:tabs>
          <w:tab w:leader="none" w:pos="178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Without limiting the rights of Agent to designate an assignee pursuant to subsection (a) above, Agent may at any time give notice of its resignation to the Lenders and Borrowers. Upon receipt of any such notice of resignation, Required Lenders shall have the right to appoint a successor Agent. If no such successor shall have been so appointed by Required Lenders and shall have accepted such appointment within ten (10) Business Days after the retiring Agent gives notice of its resignation, then the retiring Agent may on behalf of the Lenders, appoint a successor Agent;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Agent shall notify Borrowers and the Lenders that no Person has accepted such appointment, then such resignation shall nonetheless become effective in accordance with such notice from Agent that no Person has accepted such appointment and, from and following delivery of such notice, (i) the retiring Agent shall be discharged from its duties and obligations hereunder and under the other Financing Documents, and (ii) all payments, communications and determinations provided to be made by, to or through Agent shall instead be made by or to each Lender directly, until such time as Required Lenders appoint a successor Agent as provided for above in this paragraph.</w:t>
      </w:r>
    </w:p>
    <w:p>
      <w:pPr>
        <w:spacing w:after="0" w:line="181" w:lineRule="exact"/>
        <w:rPr>
          <w:rFonts w:ascii="Arial" w:cs="Arial" w:eastAsia="Arial" w:hAnsi="Arial"/>
          <w:sz w:val="17"/>
          <w:szCs w:val="17"/>
          <w:color w:val="auto"/>
        </w:rPr>
      </w:pPr>
    </w:p>
    <w:p>
      <w:pPr>
        <w:jc w:val="both"/>
        <w:ind w:left="80" w:firstLine="1306"/>
        <w:spacing w:after="0" w:line="264" w:lineRule="auto"/>
        <w:tabs>
          <w:tab w:leader="none" w:pos="17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(i) an assignment permitted by subsection (a) above, or (ii) the acceptance of a successor’s appointment as Agent pursuant to subsection (b) above, such successor shall succeed to and become vested with all of the rights, powers, privileges and duties of the retiring (or retired) Agent,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20"/>
          </w:cols>
          <w:pgMar w:left="240" w:top="625" w:right="239" w:bottom="1440" w:gutter="0" w:footer="0" w:header="0"/>
        </w:sectPr>
      </w:pPr>
    </w:p>
    <w:bookmarkStart w:id="83" w:name="page84"/>
    <w:bookmarkEnd w:id="83"/>
    <w:p>
      <w:pPr>
        <w:jc w:val="both"/>
        <w:spacing w:after="0" w:line="276" w:lineRule="auto"/>
        <w:rPr>
          <w:sz w:val="20"/>
          <w:szCs w:val="20"/>
          <w:color w:val="auto"/>
        </w:rPr>
      </w:pPr>
      <w:r>
        <w:rPr>
          <w:rFonts w:ascii="Arial" w:cs="Arial" w:eastAsia="Arial" w:hAnsi="Arial"/>
          <w:sz w:val="17"/>
          <w:szCs w:val="17"/>
          <w:color w:val="auto"/>
        </w:rPr>
        <w:t>and the retiring Agent shall be discharged from all of its duties and obligations hereunder and under the other Financing Documents (if not already discharged therefrom as provided above in this paragraph). The fees payable by Borrowers to a successor Agent shall be the same as those payable to its predecessor unless otherwise agreed between Borrowers and such successor. After the retiring Agent’s resignation hereunder and under the other Financing Documents, the provisions of this Article and Section 11.12 shall continue in effect for the benefit of such retiring Agent and its sub-agents in respect of any actions taken or omitted to be taken by any of them while the retiring Agent was acting or was continuing to act as Agent.</w:t>
      </w:r>
    </w:p>
    <w:p>
      <w:pPr>
        <w:spacing w:after="0" w:line="17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11.13</w:t>
      </w:r>
      <w:r>
        <w:rPr>
          <w:sz w:val="20"/>
          <w:szCs w:val="20"/>
          <w:color w:val="auto"/>
        </w:rPr>
        <w:tab/>
      </w:r>
      <w:r>
        <w:rPr>
          <w:rFonts w:ascii="Arial" w:cs="Arial" w:eastAsia="Arial" w:hAnsi="Arial"/>
          <w:sz w:val="16"/>
          <w:szCs w:val="16"/>
          <w:u w:val="single" w:color="auto"/>
          <w:color w:val="auto"/>
        </w:rPr>
        <w:t>Payment and Sharing of Payment</w:t>
      </w:r>
      <w:r>
        <w:rPr>
          <w:rFonts w:ascii="Arial" w:cs="Arial" w:eastAsia="Arial" w:hAnsi="Arial"/>
          <w:sz w:val="16"/>
          <w:szCs w:val="16"/>
          <w:color w:val="auto"/>
        </w:rPr>
        <w:t>.</w:t>
      </w:r>
    </w:p>
    <w:p>
      <w:pPr>
        <w:spacing w:after="0" w:line="225" w:lineRule="exact"/>
        <w:rPr>
          <w:sz w:val="20"/>
          <w:szCs w:val="20"/>
          <w:color w:val="auto"/>
        </w:rPr>
      </w:pPr>
    </w:p>
    <w:p>
      <w:pPr>
        <w:ind w:left="1760" w:hanging="374"/>
        <w:spacing w:after="0"/>
        <w:tabs>
          <w:tab w:leader="none" w:pos="17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0" w:firstLine="1306"/>
        <w:spacing w:after="0" w:line="264" w:lineRule="auto"/>
        <w:tabs>
          <w:tab w:leader="none" w:pos="1807"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 Loan Payments</w:t>
      </w:r>
      <w:r>
        <w:rPr>
          <w:rFonts w:ascii="Arial" w:cs="Arial" w:eastAsia="Arial" w:hAnsi="Arial"/>
          <w:sz w:val="18"/>
          <w:szCs w:val="18"/>
          <w:color w:val="auto"/>
        </w:rPr>
        <w:t>. Payments of principal, interest and fees in respect of the Term Loans will be settled on the date of receipt if received by Agent on the last Business Day of a month or on the Business Day immediately following the date of receipt if received on any day other than the last Business Day of a month.</w:t>
      </w:r>
    </w:p>
    <w:p>
      <w:pPr>
        <w:spacing w:after="0" w:line="181" w:lineRule="exact"/>
        <w:rPr>
          <w:rFonts w:ascii="Arial" w:cs="Arial" w:eastAsia="Arial" w:hAnsi="Arial"/>
          <w:sz w:val="18"/>
          <w:szCs w:val="18"/>
          <w:color w:val="auto"/>
        </w:rPr>
      </w:pPr>
    </w:p>
    <w:p>
      <w:pPr>
        <w:ind w:left="1760" w:hanging="374"/>
        <w:spacing w:after="0"/>
        <w:tabs>
          <w:tab w:leader="none" w:pos="176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59" w:lineRule="auto"/>
        <w:tabs>
          <w:tab w:leader="none" w:pos="2314"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Agent pays an amount to a Lender under this Agreement in the belief or expectation that a related payment has been or will be received by Agent from a Borrower and such related payment is not received by Agent, then Agent will be entitled to recover such amount from such Lender on demand without setoff, counterclaim or deduction of any kind, together with interest accruing on a daily basis at the Federal Funds Rate.</w:t>
      </w:r>
    </w:p>
    <w:p>
      <w:pPr>
        <w:spacing w:after="0" w:line="186" w:lineRule="exact"/>
        <w:rPr>
          <w:rFonts w:ascii="Arial" w:cs="Arial" w:eastAsia="Arial" w:hAnsi="Arial"/>
          <w:sz w:val="18"/>
          <w:szCs w:val="18"/>
          <w:color w:val="auto"/>
        </w:rPr>
      </w:pPr>
    </w:p>
    <w:p>
      <w:pPr>
        <w:jc w:val="both"/>
        <w:ind w:left="660" w:firstLine="1293"/>
        <w:spacing w:after="0" w:line="276" w:lineRule="auto"/>
        <w:tabs>
          <w:tab w:leader="none" w:pos="237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Financing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172" w:lineRule="exact"/>
        <w:rPr>
          <w:rFonts w:ascii="Arial" w:cs="Arial" w:eastAsia="Arial" w:hAnsi="Arial"/>
          <w:sz w:val="17"/>
          <w:szCs w:val="17"/>
          <w:color w:val="auto"/>
        </w:rPr>
      </w:pPr>
    </w:p>
    <w:p>
      <w:pPr>
        <w:jc w:val="both"/>
        <w:ind w:left="80" w:firstLine="1306"/>
        <w:spacing w:after="0" w:line="257" w:lineRule="auto"/>
        <w:tabs>
          <w:tab w:leader="none" w:pos="182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Defaulted Lenders</w:t>
      </w:r>
      <w:r>
        <w:rPr>
          <w:rFonts w:ascii="Arial" w:cs="Arial" w:eastAsia="Arial" w:hAnsi="Arial"/>
          <w:sz w:val="18"/>
          <w:szCs w:val="18"/>
          <w:color w:val="auto"/>
        </w:rPr>
        <w:t>. The failure of any Defaulted Lender to make any payment required by it hereunder shall not relieve any other Lender of its obligations to make payment, but neither any other Lender nor Agent shall be responsible for the failure of any Defaulted Lender to make any payment required hereunder. Notwithstanding anything set forth herein to the contrary, a Defaulted Lender shall not have any voting or consent rights under or with respect to any Financing Document or constitute a “Lender” (or be included in the calculation of “Required Lenders” hereunder) for any voting or consent rights under or with respect to any Financing Document.</w:t>
      </w:r>
    </w:p>
    <w:p>
      <w:pPr>
        <w:spacing w:after="0" w:line="188" w:lineRule="exact"/>
        <w:rPr>
          <w:rFonts w:ascii="Arial" w:cs="Arial" w:eastAsia="Arial" w:hAnsi="Arial"/>
          <w:sz w:val="18"/>
          <w:szCs w:val="18"/>
          <w:color w:val="auto"/>
        </w:rPr>
      </w:pPr>
    </w:p>
    <w:p>
      <w:pPr>
        <w:jc w:val="both"/>
        <w:ind w:left="80" w:firstLine="1306"/>
        <w:spacing w:after="0" w:line="255" w:lineRule="auto"/>
        <w:tabs>
          <w:tab w:leader="none" w:pos="181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Sharing of Payments</w:t>
      </w:r>
      <w:r>
        <w:rPr>
          <w:rFonts w:ascii="Arial" w:cs="Arial" w:eastAsia="Arial" w:hAnsi="Arial"/>
          <w:sz w:val="18"/>
          <w:szCs w:val="18"/>
          <w:color w:val="auto"/>
        </w:rPr>
        <w:t xml:space="preserve">. If any Lender shall obtain any payment or other recovery (whether voluntary, involuntary, by application of setoff or otherwise) on account of any Loan (other than pursuant to the terms of Section 2.8(d)) in excess of its Pro Rata Share of payments entitled pursuant to the other provisions of this Section 11.13, such Lender shall purchase from the other Lenders such participations in extensions of credit made by such other Lenders (without recourse, representation or warranty) as shall be necessary to cause such purchasing Lender to share the excess payment or other recovery ratably with each of them;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all or any portion of the excess payment or other recovery is thereafter required to be returned or otherwise recovered from such purchasing</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420"/>
          </w:cols>
          <w:pgMar w:left="240" w:top="625" w:right="239" w:bottom="1440" w:gutter="0" w:footer="0" w:header="0"/>
        </w:sectPr>
      </w:pPr>
    </w:p>
    <w:bookmarkStart w:id="84" w:name="page85"/>
    <w:bookmarkEnd w:id="84"/>
    <w:p>
      <w:pPr>
        <w:jc w:val="both"/>
        <w:spacing w:after="0" w:line="272" w:lineRule="auto"/>
        <w:rPr>
          <w:sz w:val="20"/>
          <w:szCs w:val="20"/>
          <w:color w:val="auto"/>
        </w:rPr>
      </w:pPr>
      <w:r>
        <w:rPr>
          <w:rFonts w:ascii="Arial" w:cs="Arial" w:eastAsia="Arial" w:hAnsi="Arial"/>
          <w:sz w:val="17"/>
          <w:szCs w:val="17"/>
          <w:color w:val="auto"/>
        </w:rPr>
        <w:t>Lender, such portion of such purchase shall be rescinded and each Lender which has sold a participation to the purchasing Lender shall repay to the purchasing Lender the purchase price to the ratable extent of such return or recovery, without interest. Each Borrower agrees that any Lender so purchasing a participation from another Lender pursuant to this clause (e) may, to the fullest extent permitted by law, exercise all its rights of payment (including pursuant to Section 10.6) with respect to such participation as fully as if such Lender were the direct creditor of Borrowers in the amount of such participation). If under any applicable bankruptcy, insolvency or other similar law, any Lender receives a secured claim in lieu of a setoff to which this clause (e) applies, such Lender shall, to the extent practicable, exercise its rights in respect of such secured claim in a manner consistent with the rights of the Lenders entitled under this clause (e) to share in the benefits of any recovery on such secured claim.</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Right to Perform, Preserve and Protect</w:t>
      </w:r>
      <w:r>
        <w:rPr>
          <w:rFonts w:ascii="Arial" w:cs="Arial" w:eastAsia="Arial" w:hAnsi="Arial"/>
          <w:sz w:val="16"/>
          <w:szCs w:val="16"/>
          <w:color w:val="auto"/>
        </w:rPr>
        <w:t>. If any Credit Party fails to perform any obligation hereunder or under any other Financing Document, Agent itself may, but shall not be obligated to, cause such obligation to be performed at Borrowers’ expense. Agent is further authorized by Borrowers and the Lenders to make expenditures from time to time which Agent, in its reasonable business judgment, deems necessary or desirable to</w:t>
      </w:r>
    </w:p>
    <w:p>
      <w:pPr>
        <w:jc w:val="both"/>
        <w:ind w:firstLine="8"/>
        <w:spacing w:after="0" w:line="273" w:lineRule="auto"/>
        <w:tabs>
          <w:tab w:leader="none" w:pos="26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preserve or protect the business conducted by Borrowers, the Collateral, or any portion thereof, and/or (b) enhance the likelihood of, or maximize the amount of, repayment of the Loan and other Obligations. Each Borrower hereby agrees to reimburse Agent on demand for any and all costs, liabilities and obligations incurred by Agent pursuant to this Section 11.14. Each Lender hereby agrees to indemnify Agent upon demand for any and all costs, liabilities and obligations incurred by Agent pursuant to this Section 11.14, in accordance with the provisions of Section 11.6.</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11.15 </w:t>
      </w:r>
      <w:r>
        <w:rPr>
          <w:rFonts w:ascii="Arial" w:cs="Arial" w:eastAsia="Arial" w:hAnsi="Arial"/>
          <w:sz w:val="17"/>
          <w:szCs w:val="17"/>
          <w:u w:val="single" w:color="auto"/>
          <w:color w:val="auto"/>
        </w:rPr>
        <w:t>Additional Titled Agents</w:t>
      </w:r>
      <w:r>
        <w:rPr>
          <w:rFonts w:ascii="Arial" w:cs="Arial" w:eastAsia="Arial" w:hAnsi="Arial"/>
          <w:sz w:val="17"/>
          <w:szCs w:val="17"/>
          <w:color w:val="auto"/>
        </w:rPr>
        <w:t>. Except for rights and powers, if any, expressly reserved under this Agreement to any bookrunner, arranger or to any titled agent named on the cover page of this Agreement, other than Agent (collectively, the “</w:t>
      </w:r>
      <w:r>
        <w:rPr>
          <w:rFonts w:ascii="Arial" w:cs="Arial" w:eastAsia="Arial" w:hAnsi="Arial"/>
          <w:sz w:val="17"/>
          <w:szCs w:val="17"/>
          <w:b w:val="1"/>
          <w:bCs w:val="1"/>
          <w:color w:val="auto"/>
        </w:rPr>
        <w:t>Additional Titled Agents</w:t>
      </w:r>
      <w:r>
        <w:rPr>
          <w:rFonts w:ascii="Arial" w:cs="Arial" w:eastAsia="Arial" w:hAnsi="Arial"/>
          <w:sz w:val="17"/>
          <w:szCs w:val="17"/>
          <w:color w:val="auto"/>
        </w:rPr>
        <w:t>”), and except for obligations, liabilities, duties and responsibilities, if any, expressly assumed under this Agreement by any Additional Titled Agent, no Additional Titled Agent, in such capacity, has any rights, powers, liabilities, duties or responsibilities hereunder or under any of the other Financing Documents. Without limiting the foregoing, no Additional Titled Agent shall have nor be deemed to have a fiduciary relationship with any Lender. At any time that any Lender serving as an Additional Titled Agent shall have transferred to any other Person (other than any Affiliates) all of its interests in the Loan, such Lender shall be deemed to have concurrently resigned as such Additional Titled Agent.</w:t>
      </w:r>
    </w:p>
    <w:p>
      <w:pPr>
        <w:spacing w:after="0" w:line="17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11.16</w:t>
      </w:r>
      <w:r>
        <w:rPr>
          <w:sz w:val="20"/>
          <w:szCs w:val="20"/>
          <w:color w:val="auto"/>
        </w:rPr>
        <w:tab/>
      </w:r>
      <w:r>
        <w:rPr>
          <w:rFonts w:ascii="Arial" w:cs="Arial" w:eastAsia="Arial" w:hAnsi="Arial"/>
          <w:sz w:val="16"/>
          <w:szCs w:val="16"/>
          <w:u w:val="single" w:color="auto"/>
          <w:color w:val="auto"/>
        </w:rPr>
        <w:t>Amendments and Waivers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9" w:lineRule="auto"/>
        <w:tabs>
          <w:tab w:leader="none" w:pos="184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No provision of this Agreement or any other Financing Document may be amended, waived or otherwise modified unless such amendment, waiver or other modification is in writing and is signed or otherwise approved by Borrowers, the Required Lenders and any other Lender to the extent required under Section 11.16(b); </w:t>
      </w:r>
      <w:r>
        <w:rPr>
          <w:rFonts w:ascii="Arial" w:cs="Arial" w:eastAsia="Arial" w:hAnsi="Arial"/>
          <w:sz w:val="18"/>
          <w:szCs w:val="18"/>
          <w:i w:val="1"/>
          <w:iCs w:val="1"/>
          <w:color w:val="auto"/>
        </w:rPr>
        <w:t>provided, however</w:t>
      </w:r>
      <w:r>
        <w:rPr>
          <w:rFonts w:ascii="Arial" w:cs="Arial" w:eastAsia="Arial" w:hAnsi="Arial"/>
          <w:sz w:val="18"/>
          <w:szCs w:val="18"/>
          <w:color w:val="auto"/>
        </w:rPr>
        <w:t>, the Fee Letter may be amended, or rights or privileges thereunder waived, in a writing executed only by the parties thereto.</w:t>
      </w:r>
    </w:p>
    <w:p>
      <w:pPr>
        <w:spacing w:after="0" w:line="186" w:lineRule="exact"/>
        <w:rPr>
          <w:rFonts w:ascii="Arial" w:cs="Arial" w:eastAsia="Arial" w:hAnsi="Arial"/>
          <w:sz w:val="18"/>
          <w:szCs w:val="18"/>
          <w:color w:val="auto"/>
        </w:rPr>
      </w:pPr>
    </w:p>
    <w:p>
      <w:pPr>
        <w:jc w:val="both"/>
        <w:ind w:left="80" w:firstLine="1306"/>
        <w:spacing w:after="0" w:line="264" w:lineRule="auto"/>
        <w:tabs>
          <w:tab w:leader="none" w:pos="179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addition to the required signatures under Section 11.16(a), no provision of this Agreement or any other Financing Document may be amended, waived or otherwise modified unless such amendment, waiver or other modification is in writing and is signed or otherwise approved by the following Persons:</w:t>
      </w:r>
    </w:p>
    <w:p>
      <w:pPr>
        <w:spacing w:after="0" w:line="181" w:lineRule="exact"/>
        <w:rPr>
          <w:rFonts w:ascii="Arial" w:cs="Arial" w:eastAsia="Arial" w:hAnsi="Arial"/>
          <w:sz w:val="18"/>
          <w:szCs w:val="18"/>
          <w:color w:val="auto"/>
        </w:rPr>
      </w:pPr>
    </w:p>
    <w:p>
      <w:pPr>
        <w:ind w:left="2360" w:hanging="407"/>
        <w:spacing w:after="0"/>
        <w:tabs>
          <w:tab w:leader="none" w:pos="236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if any amendment, waiver or other modification would increase a Lender’s funding obligations in respect of any Loan, by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such Lender; and/or</w:t>
      </w:r>
    </w:p>
    <w:p>
      <w:pPr>
        <w:spacing w:after="0" w:line="210" w:lineRule="exact"/>
        <w:rPr>
          <w:rFonts w:ascii="Arial" w:cs="Arial" w:eastAsia="Arial" w:hAnsi="Arial"/>
          <w:sz w:val="17"/>
          <w:szCs w:val="17"/>
          <w:color w:val="auto"/>
        </w:rPr>
      </w:pPr>
    </w:p>
    <w:p>
      <w:pPr>
        <w:ind w:left="2360" w:hanging="407"/>
        <w:spacing w:after="0"/>
        <w:tabs>
          <w:tab w:leader="none" w:pos="23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the rights or duties of Agent are affected thereby, by Agent;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625" w:right="239" w:bottom="1440" w:gutter="0" w:footer="0" w:header="0"/>
        </w:sectPr>
      </w:pPr>
    </w:p>
    <w:bookmarkStart w:id="85" w:name="page86"/>
    <w:bookmarkEnd w:id="85"/>
    <w:p>
      <w:pPr>
        <w:jc w:val="both"/>
        <w:spacing w:after="0" w:line="267"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in each of (i) and (ii) above, no such amendment, waiver or other modification shall, unless signed or otherwise approved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by all the Lenders directly affected thereby, (A) reduce the principal of, rate of interest on or any fees with respect to any Loan or forgive any principal, interest (other than default interest) or fees (other than late charges) with respect to any Loan; (B) postpone the date fixed for, or waive, any payment (other than any mandatory prepayment pursuant to Section 2.1(b)(ii)) of principal of any Loan, or of interest on any Loan (other than default interest) or any fees provided for hereunder (other than late charges) or postpone the date of termination of any commitment of any Lender hereunder; (C) change the definition of the term Required Lenders or the percentage of Lenders which shall be required for Lenders to take any action hereunder; (D) release all or substantially all of the Collateral, authorize any Borrower to sell or otherwise dispose of all or substantially all of the Collateral, release any Guarantor of all or any portion of the Obligations or its Guarantee obligations with respect thereto, or consent to a transfer of any of the Intellectual Property, except, in each case with respect to this clause (D), as otherwise may be provided in this Agreement or the other Financing Documents (including in connection with any disposition permitted hereunder); (E) amend, waive or otherwise modify this Section 11.16(b) or the definitions of the terms used in this Section 11.16(b) insofar as the definitions affect the substance of this Section 11.16(b); (F) consent to the assignment, delegation or other transfer by any Credit Party of any of its rights and obligations under any Financing Document or release any Borrower of its payment obligations under any Financing Document, except, in each case with respect to this clause (F), pursuant to a merger or consolidation permitted pursuant to this Agreement; or (G) amend any of the provisions of Section 10.7 or amend any of the definitions Pro Rata Share, Term Loan Commitment, Term Loan Tranche 1 Commitments, Term Loan Tranche 2 Commitments, Term Loan Commitment Amount, Term Loan Tranche 1 Commitment Amount, Term Loan Tranche 2, Term Loan Commitment Percentage or that provide for the Lenders to receive their Pro Rata Shares of any fees, payments, setoffs or proceeds of Collateral hereunder. It is hereby understood and agreed that all Lenders shall be deemed directly affected by an amendment, waiver or other modification of the type described in the preceding clauses (C), (D), (E), (F) and (G) of the preceding sentence.</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11.17</w:t>
      </w:r>
      <w:r>
        <w:rPr>
          <w:sz w:val="20"/>
          <w:szCs w:val="20"/>
          <w:color w:val="auto"/>
        </w:rPr>
        <w:tab/>
      </w:r>
      <w:r>
        <w:rPr>
          <w:rFonts w:ascii="Arial" w:cs="Arial" w:eastAsia="Arial" w:hAnsi="Arial"/>
          <w:sz w:val="16"/>
          <w:szCs w:val="16"/>
          <w:u w:val="single" w:color="auto"/>
          <w:color w:val="auto"/>
        </w:rPr>
        <w:t>Assignments and Participations</w:t>
      </w:r>
      <w:r>
        <w:rPr>
          <w:rFonts w:ascii="Arial" w:cs="Arial" w:eastAsia="Arial" w:hAnsi="Arial"/>
          <w:sz w:val="16"/>
          <w:szCs w:val="16"/>
          <w:color w:val="auto"/>
        </w:rPr>
        <w:t>.</w:t>
      </w:r>
    </w:p>
    <w:p>
      <w:pPr>
        <w:spacing w:after="0" w:line="225" w:lineRule="exact"/>
        <w:rPr>
          <w:sz w:val="20"/>
          <w:szCs w:val="20"/>
          <w:color w:val="auto"/>
        </w:rPr>
      </w:pPr>
    </w:p>
    <w:p>
      <w:pPr>
        <w:ind w:left="1760" w:hanging="374"/>
        <w:spacing w:after="0"/>
        <w:tabs>
          <w:tab w:leader="none" w:pos="176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Assignments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3"/>
        <w:spacing w:after="0" w:line="270" w:lineRule="auto"/>
        <w:tabs>
          <w:tab w:leader="none" w:pos="2315" w:val="left"/>
        </w:tabs>
        <w:numPr>
          <w:ilvl w:val="1"/>
          <w:numId w:val="114"/>
        </w:numPr>
        <w:rPr>
          <w:rFonts w:ascii="Arial" w:cs="Arial" w:eastAsia="Arial" w:hAnsi="Arial"/>
          <w:sz w:val="17"/>
          <w:szCs w:val="17"/>
          <w:color w:val="auto"/>
        </w:rPr>
      </w:pPr>
      <w:r>
        <w:rPr>
          <w:rFonts w:ascii="Arial" w:cs="Arial" w:eastAsia="Arial" w:hAnsi="Arial"/>
          <w:sz w:val="17"/>
          <w:szCs w:val="17"/>
          <w:color w:val="auto"/>
        </w:rPr>
        <w:t xml:space="preserve">Any Lender may at any time assign to one or more Eligible Assignees all or any portion of such Lender’s Loan together with all related obligations of such Lender hereunder. Except as Agent may otherwise agree, the amount of any such assignment (determined as of the date of the applicable Assignment Agreement or, if a “Trade Date” is specified in such Assignment Agreement, as of such Trade Date) shall be in a minimum aggregate amount equal to $1,000,000 or, if less, the assignor’s entire interests in the outstanding Loan;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connection with simultaneous assignments to two or more related Approved Funds, such Approved Funds shall be treated as one assignee for purposes of determining compliance with the minimum assignment size referred to above. Borrowers and Agent shall be entitled to continue to deal solely and directly with such Lender in connection with the interests so assigned to an Eligible Assignee until Agent shall have received and accepted an effective Assignment Agreement executed, delivered and fully completed by the applicable parties thereto and a processing fee of $3,500 to be paid by the assigning Lender;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only one processing fee shall be payable in connection with simultaneous assignments to two or more related Approved Funds.</w:t>
      </w:r>
    </w:p>
    <w:p>
      <w:pPr>
        <w:spacing w:after="0" w:line="177" w:lineRule="exact"/>
        <w:rPr>
          <w:rFonts w:ascii="Arial" w:cs="Arial" w:eastAsia="Arial" w:hAnsi="Arial"/>
          <w:sz w:val="17"/>
          <w:szCs w:val="17"/>
          <w:color w:val="auto"/>
        </w:rPr>
      </w:pPr>
    </w:p>
    <w:p>
      <w:pPr>
        <w:ind w:left="660" w:firstLine="1293"/>
        <w:spacing w:after="0" w:line="308" w:lineRule="auto"/>
        <w:tabs>
          <w:tab w:leader="none" w:pos="2370" w:val="left"/>
        </w:tabs>
        <w:numPr>
          <w:ilvl w:val="1"/>
          <w:numId w:val="114"/>
        </w:numPr>
        <w:rPr>
          <w:rFonts w:ascii="Arial" w:cs="Arial" w:eastAsia="Arial" w:hAnsi="Arial"/>
          <w:sz w:val="17"/>
          <w:szCs w:val="17"/>
          <w:color w:val="auto"/>
        </w:rPr>
      </w:pPr>
      <w:r>
        <w:rPr>
          <w:rFonts w:ascii="Arial" w:cs="Arial" w:eastAsia="Arial" w:hAnsi="Arial"/>
          <w:sz w:val="17"/>
          <w:szCs w:val="17"/>
          <w:color w:val="auto"/>
        </w:rPr>
        <w:t>From and after the date on which the conditions described above have been met, (A) such Eligible Assignee shall be deemed automatically to have become a party hereto and, to the extent of the interests assigned to such Eligible Assignee pursuant to such</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20"/>
          </w:cols>
          <w:pgMar w:left="240" w:top="1057" w:right="239" w:bottom="1440" w:gutter="0" w:footer="0" w:header="0"/>
        </w:sectPr>
      </w:pPr>
    </w:p>
    <w:bookmarkStart w:id="86" w:name="page87"/>
    <w:bookmarkEnd w:id="86"/>
    <w:p>
      <w:pPr>
        <w:jc w:val="both"/>
        <w:spacing w:after="0" w:line="272" w:lineRule="auto"/>
        <w:rPr>
          <w:sz w:val="20"/>
          <w:szCs w:val="20"/>
          <w:color w:val="auto"/>
        </w:rPr>
      </w:pPr>
      <w:r>
        <w:rPr>
          <w:rFonts w:ascii="Arial" w:cs="Arial" w:eastAsia="Arial" w:hAnsi="Arial"/>
          <w:sz w:val="17"/>
          <w:szCs w:val="17"/>
          <w:color w:val="auto"/>
        </w:rPr>
        <w:t>Assignment Agreement, shall have the rights and obligations of a Lender hereunder, and (B) the assigning Lender, to the extent that rights and obligations hereunder have been assigned by it pursuant to such Assignment Agreement, shall be released from its rights and obligations hereunder (other than those that survive termination pursuant to Section 12.1). Upon the request of the Eligible Assignee (and, as applicable, the assigning Lender) pursuant to an effective Assignment Agreement, each Borrower shall execute and deliver to Agent for delivery to the Eligible Assignee (and, as applicable, the assigning Lender) Notes in the aggregate principal amount of the Eligible Assignee’s Loan (and, as applicable, Notes in the principal amount of that portion of the principal amount of the Loan retained by the assigning Lender). Upon receipt by the assigning Lender of such Note, the assigning Lender shall return to Borrower Representative any prior Note held by it.</w:t>
      </w:r>
    </w:p>
    <w:p>
      <w:pPr>
        <w:spacing w:after="0" w:line="178" w:lineRule="exact"/>
        <w:rPr>
          <w:sz w:val="20"/>
          <w:szCs w:val="20"/>
          <w:color w:val="auto"/>
        </w:rPr>
      </w:pPr>
    </w:p>
    <w:p>
      <w:pPr>
        <w:jc w:val="both"/>
        <w:ind w:firstLine="1293"/>
        <w:spacing w:after="0" w:line="268" w:lineRule="auto"/>
        <w:tabs>
          <w:tab w:leader="none" w:pos="175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Agent, acting solely for this purpose as an agent of Borrower, shall maintain at the office of its servicer located in Bethesda, Maryland a copy of each Assignment Agreement delivered to it and a register for the recordation of the names and addresses of each Lender, and the commitments of, and principal amount of the Loan owing to, such Lender pursuant to the terms hereof (the “</w:t>
      </w:r>
      <w:r>
        <w:rPr>
          <w:rFonts w:ascii="Arial" w:cs="Arial" w:eastAsia="Arial" w:hAnsi="Arial"/>
          <w:sz w:val="17"/>
          <w:szCs w:val="17"/>
          <w:b w:val="1"/>
          <w:bCs w:val="1"/>
          <w:color w:val="auto"/>
        </w:rPr>
        <w:t>Register</w:t>
      </w:r>
      <w:r>
        <w:rPr>
          <w:rFonts w:ascii="Arial" w:cs="Arial" w:eastAsia="Arial" w:hAnsi="Arial"/>
          <w:sz w:val="17"/>
          <w:szCs w:val="17"/>
          <w:color w:val="auto"/>
        </w:rPr>
        <w:t>”). The entries in such Register shall be conclusive, absent manifest effort, and Borrower, Agent and Lenders may treat each Person whose name is recorded therein pursuant to the terms hereof as a Lender hereunder for all purposes of this Agreement, notwithstanding notice to the contrary. Such Register shall be available for inspection by Borrower and any Lender, at any reasonable time upon reasonable prior notice to Agent. Each Lender that sells a participation shall, acting solely for this purpose as an agent of Borrower maintain a register on which it enters the name and address of each participant and the principal amounts (and stated interest) of each participant’s interest in the Obligations (each, a “Participant Register”). The entries in the Participant Registers shall be conclusive, absent manifest error. Each Participant Register shall be available for inspection by Borrower and Agent at any reasonable time upon reasonable prior notice to the applicable Lender;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Financing Document) to any Person (including Borrower) except to the extent that such disclosure is necessary to establish that such commitment, loan, letter of credit or other obligation is in registered form under Section 5f.103-1(c) of the United States Treasury Regulations. For the avoidance of doubt, Agent (in its capacity as Agent) shall have no responsibility for maintaining a Participant Register.</w:t>
      </w:r>
    </w:p>
    <w:p>
      <w:pPr>
        <w:spacing w:after="0" w:line="183" w:lineRule="exact"/>
        <w:rPr>
          <w:rFonts w:ascii="Arial" w:cs="Arial" w:eastAsia="Arial" w:hAnsi="Arial"/>
          <w:sz w:val="17"/>
          <w:szCs w:val="17"/>
          <w:color w:val="auto"/>
        </w:rPr>
      </w:pPr>
    </w:p>
    <w:p>
      <w:pPr>
        <w:jc w:val="both"/>
        <w:ind w:firstLine="1293"/>
        <w:spacing w:after="0" w:line="279" w:lineRule="auto"/>
        <w:tabs>
          <w:tab w:leader="none" w:pos="174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Section 11.17(a) or any other provision of this Agreement, any Lender may at any time pledge or assign a security interest in all or any portion of its rights under this Agreement to secure obligations of such Lender, including any pledge or assignment to secure obligations to a Federal Reserve Bank;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such pledge or assignment shall release such Lender from any of its obligations hereunder or substitute any such pledgee or assignee for such Lender as a party hereto.</w:t>
      </w:r>
    </w:p>
    <w:p>
      <w:pPr>
        <w:spacing w:after="0" w:line="171" w:lineRule="exact"/>
        <w:rPr>
          <w:rFonts w:ascii="Arial" w:cs="Arial" w:eastAsia="Arial" w:hAnsi="Arial"/>
          <w:sz w:val="17"/>
          <w:szCs w:val="17"/>
          <w:color w:val="auto"/>
        </w:rPr>
      </w:pPr>
    </w:p>
    <w:p>
      <w:pPr>
        <w:jc w:val="both"/>
        <w:ind w:firstLine="1293"/>
        <w:spacing w:after="0" w:line="255" w:lineRule="auto"/>
        <w:tabs>
          <w:tab w:leader="none" w:pos="173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11.17(a) or any other provision of this Agreement, Agent has the right, but not the obligation, to effectuate assignments of Loan via an electronic settlement system acceptable to Agent as designated in writing from time to time to the Lenders by Agent (the “</w:t>
      </w:r>
      <w:r>
        <w:rPr>
          <w:rFonts w:ascii="Arial" w:cs="Arial" w:eastAsia="Arial" w:hAnsi="Arial"/>
          <w:sz w:val="18"/>
          <w:szCs w:val="18"/>
          <w:b w:val="1"/>
          <w:bCs w:val="1"/>
          <w:color w:val="auto"/>
        </w:rPr>
        <w:t>Settlement Service</w:t>
      </w:r>
      <w:r>
        <w:rPr>
          <w:rFonts w:ascii="Arial" w:cs="Arial" w:eastAsia="Arial" w:hAnsi="Arial"/>
          <w:sz w:val="18"/>
          <w:szCs w:val="18"/>
          <w:color w:val="auto"/>
        </w:rPr>
        <w:t>”). At any time when Agent elects, in its sole discretion, to implement such Settlement Service, each such assignment shall be effected by the assigning Lender and proposed assignee pursuant to the procedures then in effect under the Settlement Service, which procedures shall be consistent with the other provisions of this Section 11.17(a). Each assigning Lender and proposed Eligible Assignee shall</w:t>
      </w:r>
    </w:p>
    <w:p>
      <w:pPr>
        <w:spacing w:after="0" w:line="200" w:lineRule="exact"/>
        <w:rPr>
          <w:sz w:val="20"/>
          <w:szCs w:val="20"/>
          <w:color w:val="auto"/>
        </w:rPr>
      </w:pPr>
    </w:p>
    <w:p>
      <w:pPr>
        <w:spacing w:after="0" w:line="24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0760"/>
          </w:cols>
          <w:pgMar w:left="900" w:top="625" w:right="239" w:bottom="1440" w:gutter="0" w:footer="0" w:header="0"/>
        </w:sectPr>
      </w:pPr>
    </w:p>
    <w:bookmarkStart w:id="87" w:name="page88"/>
    <w:bookmarkEnd w:id="87"/>
    <w:p>
      <w:pPr>
        <w:jc w:val="both"/>
        <w:ind w:left="580"/>
        <w:spacing w:after="0" w:line="259" w:lineRule="auto"/>
        <w:rPr>
          <w:sz w:val="20"/>
          <w:szCs w:val="20"/>
          <w:color w:val="auto"/>
        </w:rPr>
      </w:pPr>
      <w:r>
        <w:rPr>
          <w:rFonts w:ascii="Arial" w:cs="Arial" w:eastAsia="Arial" w:hAnsi="Arial"/>
          <w:sz w:val="18"/>
          <w:szCs w:val="18"/>
          <w:color w:val="auto"/>
        </w:rPr>
        <w:t>comply with the requirements of the Settlement Service in connection with effecting any assignment of Loan pursuant to the Settlement Service. With the prior written approval of Agent, Agent’s approval of such Eligible Assignee shall be deemed to have been automatically granted with respect to any transfer effected through the Settlement Service. Assignments and assumptions of the Loan shall be effected by the provisions otherwise set forth herein until Agent notifies Lenders of the Settlement Service as set forth herein.</w:t>
      </w:r>
    </w:p>
    <w:p>
      <w:pPr>
        <w:spacing w:after="0" w:line="187" w:lineRule="exact"/>
        <w:rPr>
          <w:sz w:val="20"/>
          <w:szCs w:val="20"/>
          <w:color w:val="auto"/>
        </w:rPr>
      </w:pPr>
    </w:p>
    <w:p>
      <w:pPr>
        <w:jc w:val="both"/>
        <w:ind w:firstLine="1306"/>
        <w:spacing w:after="0" w:line="289" w:lineRule="auto"/>
        <w:tabs>
          <w:tab w:leader="none" w:pos="1686"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any Borrower or Agent, sell to one or more Persons (other than any Borrower or any Borrower’s Affiliates) participating interests in its Loan, commitments or other interests hereunder (any such Person,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the event of a sale by a Lender of a participating interest to a Participant, (i) such Lender’s obligations hereunder shall remain unchanged for all purposes, (ii) Borrowers and Agent shall continue to deal solely and directly with such Lender in connection with such Lender’s rights and obligations hereunder, and (iii) all amounts payable by each Borrower shall be determined as if such Lender had not sold such participation and shall be paid directly to such Lender. Each Borrower agrees that if amounts outstanding under this Agreement are due and payable (as a result of acceleration or otherwise), each Participant shall be deemed to have the right of set-off in respect of its participating interest in amounts owing under this Agreement to the same extent as if the amount of its participating interest were owing directly to it as a Lender under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right of set-off shall be subject to the obligation of each Participant to share with Lenders, and Lenders agree to share with each Participant, as provided in Section 11.5.</w:t>
      </w:r>
    </w:p>
    <w:p>
      <w:pPr>
        <w:spacing w:after="0" w:line="166" w:lineRule="exact"/>
        <w:rPr>
          <w:rFonts w:ascii="Arial" w:cs="Arial" w:eastAsia="Arial" w:hAnsi="Arial"/>
          <w:sz w:val="16"/>
          <w:szCs w:val="16"/>
          <w:color w:val="auto"/>
        </w:rPr>
      </w:pPr>
    </w:p>
    <w:p>
      <w:pPr>
        <w:jc w:val="both"/>
        <w:ind w:firstLine="1306"/>
        <w:spacing w:after="0" w:line="283" w:lineRule="auto"/>
        <w:tabs>
          <w:tab w:leader="none" w:pos="1717" w:val="left"/>
        </w:tabs>
        <w:numPr>
          <w:ilvl w:val="1"/>
          <w:numId w:val="116"/>
        </w:numPr>
        <w:rPr>
          <w:rFonts w:ascii="Arial" w:cs="Arial" w:eastAsia="Arial" w:hAnsi="Arial"/>
          <w:sz w:val="16"/>
          <w:szCs w:val="16"/>
          <w:color w:val="auto"/>
        </w:rPr>
      </w:pPr>
      <w:r>
        <w:rPr>
          <w:rFonts w:ascii="Arial" w:cs="Arial" w:eastAsia="Arial" w:hAnsi="Arial"/>
          <w:sz w:val="16"/>
          <w:szCs w:val="16"/>
          <w:u w:val="single" w:color="auto"/>
          <w:color w:val="auto"/>
        </w:rPr>
        <w:t>Replacement of Lenders</w:t>
      </w:r>
      <w:r>
        <w:rPr>
          <w:rFonts w:ascii="Arial" w:cs="Arial" w:eastAsia="Arial" w:hAnsi="Arial"/>
          <w:sz w:val="16"/>
          <w:szCs w:val="16"/>
          <w:color w:val="auto"/>
        </w:rPr>
        <w:t>. Within thirty (30) days after: (i) receipt by Agent of notice and demand from any Lender for payment of additional costs as provided in Section 2.8(d), which demand shall not have been revoked, (ii) any Borrower is required to pay any additional amount to any Lender or any Governmental Authority for the account of any Lender pursuant to Section 2.8(a), (iii) any Lender is a Defaulted Lender, and the circumstances causing such status shall not have been cured or waived; or (iv) any failure by any Lender to consent to a requested amendment, waiver or modification to any Financing Document in which Required Lenders have already consented to such amendment, waiver or modification but the consent of each Lender, or each Lender affected thereby, is required with respect thereto (each relevant Lender in the foregoing clauses (i) through (iv) being an “</w:t>
      </w:r>
      <w:r>
        <w:rPr>
          <w:rFonts w:ascii="Arial" w:cs="Arial" w:eastAsia="Arial" w:hAnsi="Arial"/>
          <w:sz w:val="16"/>
          <w:szCs w:val="16"/>
          <w:b w:val="1"/>
          <w:bCs w:val="1"/>
          <w:color w:val="auto"/>
        </w:rPr>
        <w:t>Affected Lender</w:t>
      </w:r>
      <w:r>
        <w:rPr>
          <w:rFonts w:ascii="Arial" w:cs="Arial" w:eastAsia="Arial" w:hAnsi="Arial"/>
          <w:sz w:val="16"/>
          <w:szCs w:val="16"/>
          <w:color w:val="auto"/>
        </w:rPr>
        <w:t>”) each of Borrower Representative and Agent may, at its option, notify such Affected Lender and, in the case of Borrowers’ election, Agent, of such Person’s intention to obtain, at Borrowers’ expense, a replacement Lender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for such Lender, which Replacement Lender shall be an Eligible Assignee and, in the event the Replacement Lender is to replace an Affected Lender described in the preceding clause (iv), such Replacement Lender consents to the requested amendment, waiver or modification making the replaced Lender an Affected Lender. In the event Borrowers or Agent, as applicable, obtains a Replacement Lender within ninety (90) days following notice of its intention to do so, the Affected Lender shall sell, at par, and assign all of its Loan and funding commitments hereunder to such Replacement Lender in accordance with the procedures set forth in Section 11.17(a);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Borrowers shall have reimbursed such Lender for its increased costs and additional payments for which it is entitled to reimbursement under Section 2.8(a) or Section 2.8(d), as applicable, of this Agreement through the date of such sale and assignment, and</w:t>
      </w:r>
    </w:p>
    <w:p>
      <w:pPr>
        <w:spacing w:after="0" w:line="2" w:lineRule="exact"/>
        <w:rPr>
          <w:rFonts w:ascii="Arial" w:cs="Arial" w:eastAsia="Arial" w:hAnsi="Arial"/>
          <w:sz w:val="16"/>
          <w:szCs w:val="16"/>
          <w:color w:val="auto"/>
        </w:rPr>
      </w:pPr>
    </w:p>
    <w:p>
      <w:pPr>
        <w:jc w:val="both"/>
        <w:ind w:firstLine="9"/>
        <w:spacing w:after="0" w:line="252" w:lineRule="auto"/>
        <w:tabs>
          <w:tab w:leader="none" w:pos="31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Borrowers shall pay to Agent the $3,500 processing fee in respect of such assignment. In the event that a replaced Lender does not execute an Assignment Agreement pursuant to Section 11.17(a) within five (5) Business Days after receipt by such replaced Lender of notice of replacement pursuant to this Section 11.17(c) and presentation to such replaced Lender of an Assignment Agreement evidencing an assignment pursuant to this Section 11.17(c), such replaced Lender shall be deemed to have consented to the terms of such Assignment Agreement, and any such Assignment Agreement executed by Agent, the Replacement Lender and, to the extent required pursuant to Section 11.17(a), Borrowers, shall be effective for purposes of this Section 11.17(c) and Section 11.17(a). Upon any such assignment and</w:t>
      </w: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340"/>
          </w:cols>
          <w:pgMar w:left="320" w:top="625" w:right="239" w:bottom="1440" w:gutter="0" w:footer="0" w:header="0"/>
        </w:sectPr>
      </w:pPr>
    </w:p>
    <w:bookmarkStart w:id="88" w:name="page89"/>
    <w:bookmarkEnd w:id="88"/>
    <w:p>
      <w:pPr>
        <w:spacing w:after="0" w:line="282" w:lineRule="auto"/>
        <w:rPr>
          <w:sz w:val="20"/>
          <w:szCs w:val="20"/>
          <w:color w:val="auto"/>
        </w:rPr>
      </w:pPr>
      <w:r>
        <w:rPr>
          <w:rFonts w:ascii="Arial" w:cs="Arial" w:eastAsia="Arial" w:hAnsi="Arial"/>
          <w:sz w:val="18"/>
          <w:szCs w:val="18"/>
          <w:color w:val="auto"/>
        </w:rPr>
        <w:t>payment, such replaced Lender shall no longer constitute a “</w:t>
      </w:r>
      <w:r>
        <w:rPr>
          <w:rFonts w:ascii="Arial" w:cs="Arial" w:eastAsia="Arial" w:hAnsi="Arial"/>
          <w:sz w:val="18"/>
          <w:szCs w:val="18"/>
          <w:b w:val="1"/>
          <w:bCs w:val="1"/>
          <w:color w:val="auto"/>
        </w:rPr>
        <w:t>Lender</w:t>
      </w:r>
      <w:r>
        <w:rPr>
          <w:rFonts w:ascii="Arial" w:cs="Arial" w:eastAsia="Arial" w:hAnsi="Arial"/>
          <w:sz w:val="18"/>
          <w:szCs w:val="18"/>
          <w:color w:val="auto"/>
        </w:rPr>
        <w:t>” for purposes hereof, other than with respect to such rights and obligations that survive termination as set forth in Section 12.1.</w:t>
      </w:r>
    </w:p>
    <w:p>
      <w:pPr>
        <w:spacing w:after="0" w:line="166" w:lineRule="exact"/>
        <w:rPr>
          <w:sz w:val="20"/>
          <w:szCs w:val="20"/>
          <w:color w:val="auto"/>
        </w:rPr>
      </w:pPr>
    </w:p>
    <w:p>
      <w:pPr>
        <w:ind w:left="80" w:firstLine="1306"/>
        <w:spacing w:after="0" w:line="277" w:lineRule="auto"/>
        <w:tabs>
          <w:tab w:leader="none" w:pos="17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Credit Party Assignments</w:t>
      </w:r>
      <w:r>
        <w:rPr>
          <w:rFonts w:ascii="Arial" w:cs="Arial" w:eastAsia="Arial" w:hAnsi="Arial"/>
          <w:sz w:val="18"/>
          <w:szCs w:val="18"/>
          <w:color w:val="auto"/>
        </w:rPr>
        <w:t>. No Credit Party may assign, delegate or otherwise transfer any of its rights or other obligations hereunder or under any other Financing Document without the prior written consent of Agent and each Lender.</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11.18 </w:t>
      </w:r>
      <w:r>
        <w:rPr>
          <w:rFonts w:ascii="Arial" w:cs="Arial" w:eastAsia="Arial" w:hAnsi="Arial"/>
          <w:sz w:val="18"/>
          <w:szCs w:val="18"/>
          <w:u w:val="single" w:color="auto"/>
          <w:color w:val="auto"/>
        </w:rPr>
        <w:t>Funding and Settlement Provisions Applicable When Non-Funding Lenders Exist</w:t>
      </w:r>
      <w:r>
        <w:rPr>
          <w:rFonts w:ascii="Arial" w:cs="Arial" w:eastAsia="Arial" w:hAnsi="Arial"/>
          <w:sz w:val="18"/>
          <w:szCs w:val="18"/>
          <w:color w:val="auto"/>
        </w:rPr>
        <w:t>. So long as Agent has not waived the conditions to the funding of Loans set forth in Section 7.2 or Section 2.1, any Lender may deliver a notice to Agent stating that such Lender shall not fund the Term Loans due to the non-satisfaction of one or more conditions to funding Loans set forth in Section 7.2 or Section 2.1, and specifying any such non-satisfied conditions. Any Lender delivering any such notice shall become a non-funding Lender (a “</w:t>
      </w:r>
      <w:r>
        <w:rPr>
          <w:rFonts w:ascii="Arial" w:cs="Arial" w:eastAsia="Arial" w:hAnsi="Arial"/>
          <w:sz w:val="18"/>
          <w:szCs w:val="18"/>
          <w:b w:val="1"/>
          <w:bCs w:val="1"/>
          <w:color w:val="auto"/>
        </w:rPr>
        <w:t>Non-Funding Lender</w:t>
      </w:r>
      <w:r>
        <w:rPr>
          <w:rFonts w:ascii="Arial" w:cs="Arial" w:eastAsia="Arial" w:hAnsi="Arial"/>
          <w:sz w:val="18"/>
          <w:szCs w:val="18"/>
          <w:color w:val="auto"/>
        </w:rPr>
        <w:t xml:space="preserve">”) for purposes of this Agreement commencing on the Business Day following receipt by Agent of such notice, and shall cease to be a Non-Funding Lender on the date on which such Lender has either revoked the effectiveness of such notice or acknowledged in writing to each of Agent the satisfaction of the condition(s) specified in such notice, or Required Lenders waive the conditions to the funding of such Loans giving rise to such notice by Non-Funding Lender. Each Non-Funding Lender shall remain a Lender for purposes of this Agreement to the extent that such Non-Funding Lender has Term Loans outstanding in excess of Zero Dollars ($0);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during any period of time that any Non-Funding Lender exists, and notwithstanding any provision to the contrary set forth herein,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provisions shall apply:</w:t>
      </w:r>
    </w:p>
    <w:p>
      <w:pPr>
        <w:spacing w:after="0" w:line="195" w:lineRule="exact"/>
        <w:rPr>
          <w:sz w:val="20"/>
          <w:szCs w:val="20"/>
          <w:color w:val="auto"/>
        </w:rPr>
      </w:pPr>
    </w:p>
    <w:p>
      <w:pPr>
        <w:ind w:left="80" w:firstLine="1306"/>
        <w:spacing w:after="0" w:line="342" w:lineRule="auto"/>
        <w:tabs>
          <w:tab w:leader="none" w:pos="180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purposes of determining the Pro Rata Share of each Lender under clause (c) of the definition of such term, each Non-Funding Lender shall be deemed to have a Term Loan Commitment Amount as in effect immediately before such Lender became a Non-Funding Lender.</w:t>
      </w:r>
    </w:p>
    <w:p>
      <w:pPr>
        <w:spacing w:after="0" w:line="123" w:lineRule="exact"/>
        <w:rPr>
          <w:rFonts w:ascii="Arial" w:cs="Arial" w:eastAsia="Arial" w:hAnsi="Arial"/>
          <w:sz w:val="16"/>
          <w:szCs w:val="16"/>
          <w:color w:val="auto"/>
        </w:rPr>
      </w:pPr>
    </w:p>
    <w:p>
      <w:pPr>
        <w:ind w:left="1840" w:hanging="454"/>
        <w:spacing w:after="0"/>
        <w:tabs>
          <w:tab w:leader="none" w:pos="18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Except as provided in clause (a) above, the Term Loan Commitment Amount of each Non-Funding Lender shall be deemed to be</w:t>
      </w:r>
    </w:p>
    <w:p>
      <w:pPr>
        <w:spacing w:after="0" w:line="46"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8"/>
          <w:szCs w:val="18"/>
          <w:color w:val="auto"/>
        </w:rPr>
        <w:t>Zero Dollars ($0).</w:t>
      </w:r>
    </w:p>
    <w:p>
      <w:pPr>
        <w:spacing w:after="0" w:line="210" w:lineRule="exact"/>
        <w:rPr>
          <w:rFonts w:ascii="Arial" w:cs="Arial" w:eastAsia="Arial" w:hAnsi="Arial"/>
          <w:sz w:val="16"/>
          <w:szCs w:val="16"/>
          <w:color w:val="auto"/>
        </w:rPr>
      </w:pPr>
    </w:p>
    <w:p>
      <w:pPr>
        <w:jc w:val="both"/>
        <w:ind w:left="80" w:firstLine="1306"/>
        <w:spacing w:after="0" w:line="264" w:lineRule="auto"/>
        <w:tabs>
          <w:tab w:leader="none" w:pos="18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Term Loan Commitment at any date of determination during such period shall be deemed to be equal to the sum of (i) the aggregate Term Loan Commitment Amounts of all Lenders, other than the Non-Funding Lenders as of such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the aggregate principal amount outstanding under the Term Loans of all Non-Funding Lenders as of such date.</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11.19</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11.20</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Article 11, the following terms have the following meanings:</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xml:space="preserve">” means any (a) investment company, fund, trust, securitization vehicle or conduit that is (or will be) engaged in making, purchasing, holding or otherwise investing in commercial loans and similar extensions of credit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 long as no Event of Default has occurred and is continuing, an “Approved Fund” shall not include any hedge fund, private equity fund or similar public or private investment vehicle that is routinely engaged in the business of investing in distressed debt, or (b) any Person (other than a natural person) which temporarily warehouses loans for any Lender or any entity described in the preceding clause (a) and that, with respect to each of the preceding clauses (a) and (b), is administered or managed by (i) a Lender, (ii) an Affiliate of a Lender, or (iii) a Person (other than a natural person) or an Affiliate of a Person (other than a natural person) that administers or manages a Lender.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621" w:right="23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assignment agreement in form and substance acceptable to Agent.</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Defaulted Lender</w:t>
      </w:r>
      <w:r>
        <w:rPr>
          <w:rFonts w:ascii="Arial" w:cs="Arial" w:eastAsia="Arial" w:hAnsi="Arial"/>
          <w:sz w:val="17"/>
          <w:szCs w:val="17"/>
          <w:color w:val="auto"/>
        </w:rPr>
        <w:t>” means, so long as such failure shall remain in existence and uncured, any Lender which shall have failed to make any Loan or other credit accommodation, disbursement, settlement or reimbursement required pursuant to the terms of any Financing Document.</w:t>
      </w:r>
    </w:p>
    <w:p>
      <w:pPr>
        <w:spacing w:after="0" w:line="1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 a Lender, (b) an Affiliate of a Lender, (c) an Approved Fund, and (d) any other Person (other than a natural person) approved by Agent;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(x) “</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shall not include (i) any Borrower or any of a Borrower’s Affiliates, (ii) (A) hedge fund, private equity fund or similar public or private investment vehicle that is routinely engaged in the business of investing in distressed debt or (B) any direct competitor of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restrictions on assignment set forth in this clause (ii) shall not apply if an Event of Default shall have occurred and is continuing, and (y) no proposed assignee intending to assume any unfunded portion of the Term Loan Commitment shall be an Eligible Assignee unless such proposed assignee either already holds a portion of such Term Loan Commitment, or has been approved as an Eligible Assignee by Agent.</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of interest per annum (rounded upwards, if necessary, to the nearest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i w:val="1"/>
          <w:iCs w:val="1"/>
          <w:color w:val="auto"/>
        </w:rPr>
        <w:t>provided, however</w:t>
      </w:r>
      <w:r>
        <w:rPr>
          <w:rFonts w:ascii="Arial" w:cs="Arial" w:eastAsia="Arial" w:hAnsi="Arial"/>
          <w:sz w:val="16"/>
          <w:szCs w:val="16"/>
          <w:color w:val="auto"/>
        </w:rPr>
        <w:t>, that</w:t>
      </w:r>
    </w:p>
    <w:p>
      <w:pPr>
        <w:spacing w:after="0" w:line="2"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if such day is not a Business Day, the Federal Funds Rate for such day shall be such rate on such transactions on the next preceding Business Day, and</w:t>
      </w:r>
    </w:p>
    <w:p>
      <w:pPr>
        <w:spacing w:after="0" w:line="32" w:lineRule="exact"/>
        <w:rPr>
          <w:rFonts w:ascii="Arial" w:cs="Arial" w:eastAsia="Arial" w:hAnsi="Arial"/>
          <w:sz w:val="16"/>
          <w:szCs w:val="16"/>
          <w:color w:val="auto"/>
        </w:rPr>
      </w:pPr>
    </w:p>
    <w:p>
      <w:pPr>
        <w:ind w:right="20" w:firstLine="8"/>
        <w:spacing w:after="0" w:line="261" w:lineRule="auto"/>
        <w:tabs>
          <w:tab w:leader="none" w:pos="2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no such rate is so published on such next preceding Business Day, the Federal Funds Rate for such day shall be the average rate quoted to Agent on such day on such transactions as determined by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MISCELLANEOUS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Survival</w:t>
      </w:r>
      <w:r>
        <w:rPr>
          <w:rFonts w:ascii="Arial" w:cs="Arial" w:eastAsia="Arial" w:hAnsi="Arial"/>
          <w:sz w:val="18"/>
          <w:szCs w:val="18"/>
          <w:color w:val="auto"/>
        </w:rPr>
        <w:t>. All agreements, representations and warranties made herein and in every other Financing Document, other than those made in Section 3.26, which shall expire 6 months following the Closing Date, shall survive the execution and delivery of this Agreement and the other Financing Documents and the other Operative Documents. The provisions of Section 2.10 and Articles 11 and 12 shall survive the payment of the Obligations (both with respect to any Lender and all Lenders collectively) and any termination of this Agreement and any judgment with respect to any Obligations, including any final foreclosure judgment with respect to any Security Document, and no unpaid or unperformed, current or future, Obligations will merge into any such judgment.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12.2 </w:t>
      </w:r>
      <w:r>
        <w:rPr>
          <w:rFonts w:ascii="Arial" w:cs="Arial" w:eastAsia="Arial" w:hAnsi="Arial"/>
          <w:sz w:val="17"/>
          <w:szCs w:val="17"/>
          <w:u w:val="single" w:color="auto"/>
          <w:color w:val="auto"/>
        </w:rPr>
        <w:t>No Waivers</w:t>
      </w:r>
      <w:r>
        <w:rPr>
          <w:rFonts w:ascii="Arial" w:cs="Arial" w:eastAsia="Arial" w:hAnsi="Arial"/>
          <w:sz w:val="17"/>
          <w:szCs w:val="17"/>
          <w:color w:val="auto"/>
        </w:rPr>
        <w:t>. No failure or delay by Agent or any Lender in exercising any right, power or privilege under any Financing Document shall operate as a waiver thereof nor shall any single or partial exercise thereof preclude any other or further exercise thereof or the exercise of any other right, power or privilege. The rights and remedies herein and therein provided shall be cumulative and not exclusive of any rights or remedies provided by law. Any reference in any Financing Document to the “continuing” nature of any Event of Default shall not be construed as establishing or otherwise indicating that any Borrower or any other Credit Party has the independent right to cure any such Event of Default, but is rather presented merely for convenience should such Event of Default be waived in accordance with the terms of the applicable Financing Documents.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20"/>
          </w:cols>
          <w:pgMar w:left="240" w:top="1053" w:right="239" w:bottom="1440" w:gutter="0" w:footer="0" w:header="0"/>
        </w:sectPr>
      </w:pPr>
    </w:p>
    <w:bookmarkStart w:id="90" w:name="page91"/>
    <w:bookmarkEnd w:id="90"/>
    <w:p>
      <w:pPr>
        <w:ind w:left="660"/>
        <w:spacing w:after="0"/>
        <w:tabs>
          <w:tab w:leader="none" w:pos="1720" w:val="left"/>
        </w:tabs>
        <w:rPr>
          <w:sz w:val="20"/>
          <w:szCs w:val="20"/>
          <w:color w:val="auto"/>
        </w:rPr>
      </w:pPr>
      <w:r>
        <w:rPr>
          <w:rFonts w:ascii="Arial" w:cs="Arial" w:eastAsia="Arial" w:hAnsi="Arial"/>
          <w:sz w:val="18"/>
          <w:szCs w:val="18"/>
          <w:color w:val="auto"/>
        </w:rPr>
        <w:t>Section 12.3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70" w:lineRule="auto"/>
        <w:tabs>
          <w:tab w:leader="none" w:pos="1847"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All notices, requests and other communications to any party hereunder shall be in writing (including prepaid overnight courier, facsimile transmission or similar writing) and shall be given to such party at its address, facsimile number or e-mail address set forth on the signature pages hereof (or, in the case of any such Lender who becomes a Lender after the date hereof, in an assignment agreement or in a notice delivered to Borrower Representative and Agent by the assignee Lender forthwith upon such assignment) or at such other address, facsimile number or e-mail address as such party may hereafter specify for the purpose by notice to Agent and Borrower Representative;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notices, requests or other communications shall be permitted by electronic means only in accordance with the provisions of Section 12.3(b) and (c). Each such notice, request or other communication shall be effective (i) if given by facsimile, when such notice is transmitted to the facsimile number specified by this Section and the sender receives a confirmation of transmission from the sending facsimile machine, or (ii) if given by mail, prepaid overnight courier or any other means, when received or when receipt is refused at the applicable address specified by this Section 12.3(a).</w:t>
      </w:r>
    </w:p>
    <w:p>
      <w:pPr>
        <w:spacing w:after="0" w:line="181" w:lineRule="exact"/>
        <w:rPr>
          <w:rFonts w:ascii="Arial" w:cs="Arial" w:eastAsia="Arial" w:hAnsi="Arial"/>
          <w:sz w:val="17"/>
          <w:szCs w:val="17"/>
          <w:color w:val="auto"/>
        </w:rPr>
      </w:pPr>
    </w:p>
    <w:p>
      <w:pPr>
        <w:jc w:val="both"/>
        <w:ind w:left="80" w:firstLine="1306"/>
        <w:spacing w:after="0" w:line="297" w:lineRule="auto"/>
        <w:tabs>
          <w:tab w:leader="none" w:pos="177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parties hereto may be delivered or furnished by electronic communication (including e-mail and Internet or intranet websites) pursuant to procedures approved from time to time by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shall not apply to notices sent directly to any Lender if such Lender has notified Agent that it is incapable of receiving notices by electronic communication. Agent or Borrower Representative may, in their discretion, agree to accept notices and other communications to them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approval of such procedures may be limited to particular notices or communications.</w:t>
      </w:r>
    </w:p>
    <w:p>
      <w:pPr>
        <w:spacing w:after="0" w:line="158" w:lineRule="exact"/>
        <w:rPr>
          <w:rFonts w:ascii="Arial" w:cs="Arial" w:eastAsia="Arial" w:hAnsi="Arial"/>
          <w:sz w:val="16"/>
          <w:szCs w:val="16"/>
          <w:color w:val="auto"/>
        </w:rPr>
      </w:pPr>
    </w:p>
    <w:p>
      <w:pPr>
        <w:jc w:val="both"/>
        <w:ind w:left="80" w:firstLine="1306"/>
        <w:spacing w:after="0" w:line="273" w:lineRule="auto"/>
        <w:tabs>
          <w:tab w:leader="none" w:pos="1761"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Unless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any such notice or other communication is not sent or posted during normal business hours, such notice or communication shall be deemed to have been sent at the opening of business on the next Business Day.</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provision of or obligation under this Agreement or any other Financing Document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u w:val="single" w:color="auto"/>
          <w:color w:val="auto"/>
        </w:rPr>
        <w:t>Headings</w:t>
      </w:r>
      <w:r>
        <w:rPr>
          <w:rFonts w:ascii="Arial" w:cs="Arial" w:eastAsia="Arial" w:hAnsi="Arial"/>
          <w:sz w:val="18"/>
          <w:szCs w:val="18"/>
          <w:color w:val="auto"/>
        </w:rPr>
        <w:t>. Headings and captions used in the Financing Documents (including the Exhibits, Schedules and Annexes hereto and thereto) are included for convenience of reference only and shall not be given any substantive effect.</w:t>
      </w:r>
    </w:p>
    <w:p>
      <w:pPr>
        <w:spacing w:after="0" w:line="170"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12.6</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jc w:val="both"/>
        <w:ind w:left="80" w:firstLine="1306"/>
        <w:spacing w:after="0" w:line="264" w:lineRule="auto"/>
        <w:tabs>
          <w:tab w:leader="none" w:pos="178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Credit Party agrees not to transmit or disclose provisions of any Financing Document to any Person (other than to Borrowers’ advisors and officers on a need-to-know basis or as otherwise may be required by Law, including the public filing of any Financing Documents in accordance with applicable securities Laws) without Agent’s prior written consent.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1057" w:right="239" w:bottom="1440" w:gutter="0" w:footer="0" w:header="0"/>
        </w:sectPr>
      </w:pPr>
    </w:p>
    <w:bookmarkStart w:id="91" w:name="page92"/>
    <w:bookmarkEnd w:id="91"/>
    <w:p>
      <w:pPr>
        <w:jc w:val="both"/>
        <w:ind w:left="80" w:firstLine="1306"/>
        <w:spacing w:after="0" w:line="268" w:lineRule="auto"/>
        <w:tabs>
          <w:tab w:leader="none" w:pos="1774"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Agent and each Lender shall hold all non-public information regarding the Credit Parties and their respective businesses obtained by Agent or any Lender pursuant to the requirements hereof in accordance with such Person’s customary procedures for handling information of such nature, except that disclosure of such information may be made (i) to their respective agents, employees, Subsidiaries, Affiliates, attorneys, auditors, professional consultants, rating agencies, insurance industry associations and portfolio management services, (ii) to prospective transferees or purchasers of any interest in the Loans, Agent or a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Persons are bound by obligations of confidentiality, (iii) as required by Law, subpoena, judicial order or similar order and in connection with any litigation, (iv) as may be required in connection with the examination, audit or similar investigation of such Person, and (v) to a Person that is a trustee, investment advisor or investment manager, collateral manager, servicer, noteholder or secured party in a Securitization (as hereinafter defined) in connection with the administration, servicing and reporting on the assets serving as collateral for such Securitization. For the purposes of this Section, “</w:t>
      </w:r>
      <w:r>
        <w:rPr>
          <w:rFonts w:ascii="Arial" w:cs="Arial" w:eastAsia="Arial" w:hAnsi="Arial"/>
          <w:sz w:val="17"/>
          <w:szCs w:val="17"/>
          <w:b w:val="1"/>
          <w:bCs w:val="1"/>
          <w:color w:val="auto"/>
        </w:rPr>
        <w:t>Securitization</w:t>
      </w:r>
      <w:r>
        <w:rPr>
          <w:rFonts w:ascii="Arial" w:cs="Arial" w:eastAsia="Arial" w:hAnsi="Arial"/>
          <w:sz w:val="17"/>
          <w:szCs w:val="17"/>
          <w:color w:val="auto"/>
        </w:rPr>
        <w:t xml:space="preserve">” means (A) the pledge of the Loans as collateral security for loans to a Lender, or (B) a public or private offering by a Lender or any of its Affiliates or their respective successors and assigns, of securities which represent an interest in, or which are collateralized, in whole or in part, by the Loans. Confidential information shall include only such information identified as such at the time provided to Agent and shall not include information that either: (y) is in the public domain, or becomes part of the public domain after disclosure to such Person through no fault of such Person, or (z) is disclosed to such Person by a Person other than a Credit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Agent does not have actual knowledge that such Person is prohibited from disclosing such information. The obligations of Agent and Lenders under this Section 12.6 shall supersede and replace the obligations of Agent and Lenders under any confidentiality agreement in respect of this financing executed and delivered by Agent or any Lender prior to the date hereof.</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8"/>
          <w:szCs w:val="18"/>
          <w:u w:val="single" w:color="auto"/>
          <w:color w:val="auto"/>
        </w:rPr>
        <w:t>Waiver of Consequential and Other Damages</w:t>
      </w:r>
      <w:r>
        <w:rPr>
          <w:rFonts w:ascii="Arial" w:cs="Arial" w:eastAsia="Arial" w:hAnsi="Arial"/>
          <w:sz w:val="18"/>
          <w:szCs w:val="18"/>
          <w:color w:val="auto"/>
        </w:rPr>
        <w:t>. To the fullest extent permitted by applicable law, no Borrower shall assert, and each Borrower hereby waives, any claim against any Indemnitee (as defined below), on any theory of liability, for special, indirect, consequential or punitive damages (as opposed to direct or actual damages) arising out of, in connection with, or as a result of this Agreement, any other Financing Document or any agreement or instrument contemplated hereby or thereby, the transactions contemplated hereby or thereby, any Loan or the use of the proceeds thereof. No Indemnitee shall be liable for any damages arising from the use by unintended recipients of any information or other materials distributed by it through telecommunications, electronic or other information transmission systems in connection with this Agreement or the other Financing Documents or the transactions contemplated hereby or thereby.</w:t>
      </w:r>
    </w:p>
    <w:p>
      <w:pPr>
        <w:spacing w:after="0" w:line="189"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Section 12.8</w:t>
      </w:r>
      <w:r>
        <w:rPr>
          <w:sz w:val="20"/>
          <w:szCs w:val="20"/>
          <w:color w:val="auto"/>
        </w:rPr>
        <w:tab/>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w:t>
      </w:r>
    </w:p>
    <w:p>
      <w:pPr>
        <w:spacing w:after="0" w:line="225" w:lineRule="exact"/>
        <w:rPr>
          <w:sz w:val="20"/>
          <w:szCs w:val="20"/>
          <w:color w:val="auto"/>
        </w:rPr>
      </w:pPr>
    </w:p>
    <w:p>
      <w:pPr>
        <w:jc w:val="both"/>
        <w:ind w:left="80" w:firstLine="1306"/>
        <w:spacing w:after="0" w:line="257" w:lineRule="auto"/>
        <w:tabs>
          <w:tab w:leader="none" w:pos="186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AGREEMENT, EACH NOTE AND EACH OTHER FINANCING DOCUMENT, AND ALL DISPUTES AND OTHER MATTERS RELATING HERETO OR THERETO OR ARISING THEREFROM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88" w:lineRule="exact"/>
        <w:rPr>
          <w:rFonts w:ascii="Arial" w:cs="Arial" w:eastAsia="Arial" w:hAnsi="Arial"/>
          <w:sz w:val="18"/>
          <w:szCs w:val="18"/>
          <w:color w:val="auto"/>
        </w:rPr>
      </w:pPr>
    </w:p>
    <w:p>
      <w:pPr>
        <w:jc w:val="both"/>
        <w:ind w:left="80" w:firstLine="1306"/>
        <w:spacing w:after="0" w:line="259" w:lineRule="auto"/>
        <w:tabs>
          <w:tab w:leader="none" w:pos="181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BORROWER HEREBY CONSENTS TO THE JURISDICTION OF ANY STATE OR FEDERAL COURT LOCATED IN THE STATE OF NEW YORK IN THE CITY OF NEW YORK, BOROUGH OF MANHATTAN, AND IRREVOCABLY AGREES THAT, SUBJECT TO AGENT’S ELECTION, ALL ACTIONS OR PROCEEDINGS ARISING OUT OF OR RELATING TO THIS AGREEMENT OR THE OTHER FINANCING DOCUMENTS SHALL BE LITIGATED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420"/>
          </w:cols>
          <w:pgMar w:left="240" w:top="1057" w:right="239" w:bottom="1440" w:gutter="0" w:footer="0" w:header="0"/>
        </w:sectPr>
      </w:pPr>
    </w:p>
    <w:bookmarkStart w:id="92" w:name="page93"/>
    <w:bookmarkEnd w:id="92"/>
    <w:p>
      <w:pPr>
        <w:jc w:val="both"/>
        <w:spacing w:after="0" w:line="257" w:lineRule="auto"/>
        <w:rPr>
          <w:sz w:val="20"/>
          <w:szCs w:val="20"/>
          <w:color w:val="auto"/>
        </w:rPr>
      </w:pPr>
      <w:r>
        <w:rPr>
          <w:rFonts w:ascii="Arial" w:cs="Arial" w:eastAsia="Arial" w:hAnsi="Arial"/>
          <w:sz w:val="18"/>
          <w:szCs w:val="18"/>
          <w:color w:val="auto"/>
        </w:rPr>
        <w:t>SUCH COURTS. EACH BORROWER EXPRESSLY SUBMITS AND CONSENTS TO THE JURISDICTION OF THE AFORESAID COURTS AND WAIVES ANY DEFENSE OF FORUM NON CONVENIENS. EACH BORROWER HEREBY WAIVES PERSONAL SERVICE OF ANY AND ALL PROCESS AND AGREES THAT ALL SUCH SERVICE OF PROCESS MAY BE MADE UPON SUCH BORROWER BY CERTIFIED OR REGISTERED MAIL, RETURN RECEIPT REQUESTED, ADDRESSED TO SUCH BORROWER AT THE ADDRESS SET FORTH IN THIS AGREEMENT AND SERVICE SO MADE SHALL BE COMPLETE TEN (10) DAYS AFTER THE SAME HAS BEEN POSTED.</w:t>
      </w:r>
    </w:p>
    <w:p>
      <w:pPr>
        <w:spacing w:after="0" w:line="188" w:lineRule="exact"/>
        <w:rPr>
          <w:sz w:val="20"/>
          <w:szCs w:val="20"/>
          <w:color w:val="auto"/>
        </w:rPr>
      </w:pPr>
    </w:p>
    <w:p>
      <w:pPr>
        <w:jc w:val="both"/>
        <w:ind w:left="80" w:firstLine="1306"/>
        <w:spacing w:after="0" w:line="264" w:lineRule="auto"/>
        <w:tabs>
          <w:tab w:leader="none" w:pos="176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Borrower, Agent and each Lender agree that each Loan (including those made on the Closing Date) shall be deemed to be made in, and the transactions contemplated hereunder and in any other Financing Document shall be deemed to have been performed in, the State of Maryland. Nothing in this Section 12.8(c) amends or modifies Sections 12.8(a) or 12.8(b).</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BORROWER, AGENT AND THE LENDERS HEREBY IRREVOCABLY WAIVES ANY AND ALL RIGHT TO TRIAL BY JURY IN ANY LEGAL ACTION OR PROCEEDING ARISING OUT OF OR RELATING TO THE FINANCING DOCUMENTS OR THE TRANSACTIONS CONTEMPLATED THEREBY AND AGREES THAT ANY SUCH ACTION OR PROCEEDING SHALL BE TRIED BEFORE A COURT AND NOT BEFORE A JURY. EACH BORROWER, AGENT AND EACH LENDER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BORROWER, AGENT AND EACH LENDER WARRANTS AND REPRESENTS THAT IT HAS HAD THE OPPORTUNITY OF REVIEWING THIS JURY WAIVER WITH LEGAL COUNSEL, AND THAT IT KNOWINGLY AND VOLUNTARILY WAIVES ITS JURY TRIAL RIGHTS.</w:t>
      </w:r>
    </w:p>
    <w:p>
      <w:pPr>
        <w:spacing w:after="0" w:line="193"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12.10</w:t>
      </w:r>
      <w:r>
        <w:rPr>
          <w:sz w:val="20"/>
          <w:szCs w:val="20"/>
          <w:color w:val="auto"/>
        </w:rPr>
        <w:tab/>
      </w:r>
      <w:r>
        <w:rPr>
          <w:rFonts w:ascii="Arial" w:cs="Arial" w:eastAsia="Arial" w:hAnsi="Arial"/>
          <w:sz w:val="16"/>
          <w:szCs w:val="16"/>
          <w:u w:val="single" w:color="auto"/>
          <w:color w:val="auto"/>
        </w:rPr>
        <w:t>Publication; Advertisement</w:t>
      </w:r>
      <w:r>
        <w:rPr>
          <w:rFonts w:ascii="Arial" w:cs="Arial" w:eastAsia="Arial" w:hAnsi="Arial"/>
          <w:sz w:val="16"/>
          <w:szCs w:val="16"/>
          <w:color w:val="auto"/>
        </w:rPr>
        <w:t>.</w:t>
      </w:r>
    </w:p>
    <w:p>
      <w:pPr>
        <w:spacing w:after="0" w:line="225" w:lineRule="exact"/>
        <w:rPr>
          <w:sz w:val="20"/>
          <w:szCs w:val="20"/>
          <w:color w:val="auto"/>
        </w:rPr>
      </w:pPr>
    </w:p>
    <w:p>
      <w:pPr>
        <w:jc w:val="both"/>
        <w:ind w:left="80" w:firstLine="1306"/>
        <w:spacing w:after="0" w:line="257" w:lineRule="auto"/>
        <w:tabs>
          <w:tab w:leader="none" w:pos="1864"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Publication</w:t>
      </w:r>
      <w:r>
        <w:rPr>
          <w:rFonts w:ascii="Arial" w:cs="Arial" w:eastAsia="Arial" w:hAnsi="Arial"/>
          <w:sz w:val="18"/>
          <w:szCs w:val="18"/>
          <w:color w:val="auto"/>
        </w:rPr>
        <w:t>. No Credit Party will directly or indirectly publish, disclose or otherwise use in any public disclosure, advertising material, promotional material, press release or interview, any reference to the name, logo or any trademark of MCF or any of its Affiliates or any reference to this Agreement or the financing evidenced hereby, in any case except (i) as required by Law, subpoena or judicial or similar order, in which case, to the extent legally practicable, the applicable Credit Party shall give Agent prior written notice of such publication or other disclosure, or (ii) with MCF’s prior written consent.</w:t>
      </w:r>
    </w:p>
    <w:p>
      <w:pPr>
        <w:spacing w:after="0" w:line="188" w:lineRule="exact"/>
        <w:rPr>
          <w:rFonts w:ascii="Arial" w:cs="Arial" w:eastAsia="Arial" w:hAnsi="Arial"/>
          <w:sz w:val="18"/>
          <w:szCs w:val="18"/>
          <w:color w:val="auto"/>
        </w:rPr>
      </w:pPr>
    </w:p>
    <w:p>
      <w:pPr>
        <w:jc w:val="both"/>
        <w:ind w:left="80" w:firstLine="1306"/>
        <w:spacing w:after="0" w:line="253" w:lineRule="auto"/>
        <w:tabs>
          <w:tab w:leader="none" w:pos="17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Advertisement</w:t>
      </w:r>
      <w:r>
        <w:rPr>
          <w:rFonts w:ascii="Arial" w:cs="Arial" w:eastAsia="Arial" w:hAnsi="Arial"/>
          <w:sz w:val="18"/>
          <w:szCs w:val="18"/>
          <w:color w:val="auto"/>
        </w:rPr>
        <w:t>. Each Lender and each Credit Party hereby authorizes MCF to publish the name of such Lender and Credit Party, the existence of the financing arrangements referenced under this Agreement, the primary purpose and/or structure of those arrangements, the amount of credit extended under each facility, the title and role of each party to this Agreement, and the total amount of the financing evidenced hereby in any “tombstone”, comparable advertisement or press release which MCF elects to submit for publication. In addition, each Lender and each Credit Party agrees that MCF may provide lending industry trade organizations with information necessary and customary for inclusion in league table measurements after the Closing Date. With respect to any of the foregoing, MCF shall provide Borrowers with an opportunity to review and confer with MCF regarding the contents of any such tombstone, advertisement or information, as applicable, prior to its submission for publication and, following such review period, MCF may, from time to time, publish such information in any media form desired by MCF, until such time that Borrowers shall have requested MCF cease any such further publication.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420"/>
          </w:cols>
          <w:pgMar w:left="240" w:top="625" w:right="239" w:bottom="1440" w:gutter="0" w:footer="0" w:header="0"/>
        </w:sectPr>
      </w:pPr>
    </w:p>
    <w:bookmarkStart w:id="93" w:name="page94"/>
    <w:bookmarkEnd w:id="93"/>
    <w:p>
      <w:pPr>
        <w:jc w:val="both"/>
        <w:ind w:firstLine="648"/>
        <w:spacing w:after="0" w:line="257"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8"/>
          <w:szCs w:val="18"/>
          <w:u w:val="single" w:color="auto"/>
          <w:color w:val="auto"/>
        </w:rPr>
        <w:t>Counterparts; Integration</w:t>
      </w:r>
      <w:r>
        <w:rPr>
          <w:rFonts w:ascii="Arial" w:cs="Arial" w:eastAsia="Arial" w:hAnsi="Arial"/>
          <w:sz w:val="18"/>
          <w:szCs w:val="18"/>
          <w:color w:val="auto"/>
        </w:rPr>
        <w:t>. This Agreement and the other Financing Documents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This Agreement and the other Financing Documents constitute the entire agreement and understanding among the parties hereto and supersede any and all prior agreements and understandings, oral or written, relating to the subject matter hereof.</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Section 12.12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8"/>
          <w:szCs w:val="18"/>
          <w:u w:val="single" w:color="auto"/>
          <w:color w:val="auto"/>
        </w:rPr>
        <w:t>Lender Approvals</w:t>
      </w:r>
      <w:r>
        <w:rPr>
          <w:rFonts w:ascii="Arial" w:cs="Arial" w:eastAsia="Arial" w:hAnsi="Arial"/>
          <w:sz w:val="18"/>
          <w:szCs w:val="18"/>
          <w:color w:val="auto"/>
        </w:rPr>
        <w:t>. Unless expressly provided herein to the contrary, any approval, consent, waiver or satisfaction of Agent or Lenders with respect to any matter that is the subject of this Agreement, the other Financing Documents may be granted or withheld by Agent and Lenders in their sole and absolute discretion and credit judgment.</w:t>
      </w:r>
    </w:p>
    <w:p>
      <w:pPr>
        <w:spacing w:after="0" w:line="18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12.14</w:t>
      </w:r>
      <w:r>
        <w:rPr>
          <w:sz w:val="20"/>
          <w:szCs w:val="20"/>
          <w:color w:val="auto"/>
        </w:rPr>
        <w:tab/>
      </w:r>
      <w:r>
        <w:rPr>
          <w:rFonts w:ascii="Arial" w:cs="Arial" w:eastAsia="Arial" w:hAnsi="Arial"/>
          <w:sz w:val="16"/>
          <w:szCs w:val="16"/>
          <w:u w:val="single" w:color="auto"/>
          <w:color w:val="auto"/>
        </w:rPr>
        <w:t>Expenses; Indemnity</w:t>
      </w:r>
    </w:p>
    <w:p>
      <w:pPr>
        <w:spacing w:after="0" w:line="225" w:lineRule="exact"/>
        <w:rPr>
          <w:sz w:val="20"/>
          <w:szCs w:val="20"/>
          <w:color w:val="auto"/>
        </w:rPr>
      </w:pPr>
    </w:p>
    <w:p>
      <w:pPr>
        <w:jc w:val="both"/>
        <w:ind w:left="80" w:firstLine="1306"/>
        <w:spacing w:after="0" w:line="285" w:lineRule="auto"/>
        <w:tabs>
          <w:tab w:leader="none" w:pos="1777"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Borrowers hereby agree to promptly pay (i) all reasonable costs and expenses of Agent (including, without limitation, the fees, costs and expenses of counsel to, and independent appraisers and consultants retained by Agent) in connection with the examination, review, due diligence investigation, documentation, negotiation, closing and syndication of the transactions contemplated by the Financing Documents, in connection with the performance by Agent of its rights and remedies under the Financing Documents and in connection with the continued administration of the Financing Documents including (A) any amendments, modifications, consents and waivers to and/or under any and all Financing Documents, and (B) any periodic public record searches conducted by or at the request of Agent (including, without limitation, title investigations, UCC searches, fixture filing searches, judgment, pending litigation and tax lien searches and searches of applicable corporate, limited liability, partnership and related records concerning the continued existence, organization and good standing of certain Persons); (ii) without limitation of the preceding clause (i), all costs and expenses of Agent in connection with the creation, perfection and maintenance of Liens pursuant to the Financing Documents; (iii) without limitation of the preceding clause (i), all costs and expenses of Agent in connection with (A) protecting, storing, insuring, handling, maintaining or selling any Collateral, (B) any litigation, dispute, suit or proceeding relating to any Financing Document, and (C) any workout, collection, bankruptcy, insolvency and other enforcement proceedings under any and all of the Financing Documents; (iv) without limitation of the preceding clause (i), all reasonable costs and expenses of Agent in connection with Agent’s reservation of funds in anticipation of the funding of the initial Loans to be made hereunder; and (v) all costs and expenses incurred by Lenders in connection with any litigation, dispute, suit or proceeding relating to any Financing Document and in connection with any workout, collection, bankruptcy, insolvency and other enforcement proceedings under any and all Financing Documents, whether or not Agent or Lenders are a party thereto. If Agent or any Lender uses in-house counsel for any of these purposes, Borrowers further agree that the Obligations include reasonable charges for such work commensurate with the fees that would otherwise be charged by outside legal counsel selected by Agent or such Lender for the work performed.</w:t>
      </w:r>
    </w:p>
    <w:p>
      <w:pPr>
        <w:spacing w:after="0" w:line="175" w:lineRule="exact"/>
        <w:rPr>
          <w:rFonts w:ascii="Arial" w:cs="Arial" w:eastAsia="Arial" w:hAnsi="Arial"/>
          <w:sz w:val="16"/>
          <w:szCs w:val="16"/>
          <w:color w:val="auto"/>
        </w:rPr>
      </w:pPr>
    </w:p>
    <w:p>
      <w:pPr>
        <w:ind w:left="80" w:firstLine="1306"/>
        <w:spacing w:after="0" w:line="308" w:lineRule="auto"/>
        <w:tabs>
          <w:tab w:leader="none" w:pos="176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Each Borrower hereby agrees to indemnify, pay and hold harmless Agent and Lenders and the officers, directors, employees, trustees, agents, investment advisors and investment managers, collateral managers, servicers, and counsel of Agent and Lenders (collectively called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1420"/>
          </w:cols>
          <w:pgMar w:left="240" w:top="625" w:right="239" w:bottom="1440" w:gutter="0" w:footer="0" w:header="0"/>
        </w:sectPr>
      </w:pPr>
    </w:p>
    <w:bookmarkStart w:id="94" w:name="page95"/>
    <w:bookmarkEnd w:id="94"/>
    <w:p>
      <w:pPr>
        <w:jc w:val="both"/>
        <w:spacing w:after="0" w:line="286"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Indemnitees</w:t>
      </w:r>
      <w:r>
        <w:rPr>
          <w:rFonts w:ascii="Arial" w:cs="Arial" w:eastAsia="Arial" w:hAnsi="Arial"/>
          <w:sz w:val="16"/>
          <w:szCs w:val="16"/>
          <w:color w:val="auto"/>
        </w:rPr>
        <w:t>”) from and against any and all liabilities, obligations, losses, damages, penalties, actions, judgments, suits, claims, costs, expenses and disbursements of any kind or nature whatsoever (including the fees and disbursements of counsel for such Indemnitee) in connection with any investigative, response, remedial, administrative or judicial matter or proceeding, whether or not such Indemnitee shall be designated a party thereto and including any such proceeding initiated by or on behalf of a Credit Party, and the reasonable expenses of investigation by engineers, environmental consultants and similar technical personnel and any commission, fee or compensation claimed by any broker (other than any broker retained by Agent or Lenders) asserting any right to payment for the transactions contemplated hereby, which may be imposed on, incurred by or asserted against such Indemnitee as a result of or in connection with the transactions contemplated hereby or by the other Operative Documents (including (i)(A) as a direct or indirect result of the presence on or under, or escape, seepage, leakage, spillage, discharge, emission or release from, any property now or previously owned, leased or operated by Borrower, any Subsidiary or any other Person of any Hazardous Materials, (B) arising out of or relating to the offsite disposal of any materials generated or present on any such property, or (C) arising out of or resulting from the environmental condition of any such property or the applicability of any governmental requirements relating to Hazardous Materials, whether or not occasioned wholly or in part by any condition, accident or event caused by any act or omission of Borrower or any Subsidiary, and (ii) proposed and actual extensions of credit under this Agreement) and the use or intended use of the proceeds of the Loans, except that Borrower shall have no obligation hereunder to an Indemnitee with respect to any liability resulting from the gross negligence or willful misconduct of such Indemnitee, as determined by a final non-appealable judgment of a court of competent jurisdiction. To the extent that the undertaking set forth in the immediately preceding sentence may be unenforceable, Borrower shall contribute the maximum portion which it is permitted to pay and satisfy under applicable Law to the payment and satisfaction of all such indemnified liabilities incurred by the Indemnitees or any of them.</w:t>
      </w:r>
    </w:p>
    <w:p>
      <w:pPr>
        <w:spacing w:after="0" w:line="169" w:lineRule="exact"/>
        <w:rPr>
          <w:sz w:val="20"/>
          <w:szCs w:val="20"/>
          <w:color w:val="auto"/>
        </w:rPr>
      </w:pPr>
    </w:p>
    <w:p>
      <w:pPr>
        <w:jc w:val="both"/>
        <w:ind w:left="80" w:firstLine="1306"/>
        <w:spacing w:after="0" w:line="255" w:lineRule="auto"/>
        <w:tabs>
          <w:tab w:leader="none" w:pos="18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the obligations of Borrowers under this Section 12.14 shall survive the payment in full of the Obligations and the termination of this Agreement. NO INDEMNITEE SHALL BE RESPONSIBLE OR LIABLE TO THE BORROWERS OR TO ANY OTHER PARTY TO ANY FINANCING DOCUMENT, ANY SUCCESSOR, ASSIGNEE OR THIRD PARTY BENEFICIARY OR ANY OTHER PERSON ASSERTING CLAIMS DERIVATIVELY THROUGH SUCH PARTY, FOR INDIRECT, PUNITIVE, EXEMPLARY OR CONSEQUENTIAL DAMAGES WHICH MAY BE ALLEGED AS A RESULT OF CREDIT HAVING BEEN EXTENDED, SUSPENDED OR TERMINATED UNDER THIS AGREEMENT OR ANY OTHER FINANCING DOCUMENT OR AS A RESULT OF ANY OTHER TRANSACTION CONTEMPLATED HEREUNDER OR THEREUNDER.</w:t>
      </w:r>
    </w:p>
    <w:p>
      <w:pPr>
        <w:spacing w:after="0" w:line="189"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12.15</w:t>
      </w:r>
      <w:r>
        <w:rPr>
          <w:sz w:val="20"/>
          <w:szCs w:val="20"/>
          <w:color w:val="auto"/>
        </w:rPr>
        <w:tab/>
      </w:r>
      <w:r>
        <w:rPr>
          <w:rFonts w:ascii="Arial" w:cs="Arial" w:eastAsia="Arial" w:hAnsi="Arial"/>
          <w:sz w:val="15"/>
          <w:szCs w:val="15"/>
          <w:u w:val="single" w:color="auto"/>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12.16 </w:t>
      </w:r>
      <w:r>
        <w:rPr>
          <w:rFonts w:ascii="Arial" w:cs="Arial" w:eastAsia="Arial" w:hAnsi="Arial"/>
          <w:sz w:val="17"/>
          <w:szCs w:val="17"/>
          <w:u w:val="single" w:color="auto"/>
          <w:color w:val="auto"/>
        </w:rPr>
        <w:t>Reinstatement</w:t>
      </w:r>
      <w:r>
        <w:rPr>
          <w:rFonts w:ascii="Arial" w:cs="Arial" w:eastAsia="Arial" w:hAnsi="Arial"/>
          <w:sz w:val="17"/>
          <w:szCs w:val="17"/>
          <w:color w:val="auto"/>
        </w:rPr>
        <w:t>. This Agreement shall remain in full force and effect and continue to be effective should any petition or other proceeding be filed by or against any Credit Party for liquidation or reorganization, should any Credit Party become insolvent or make an assignment for the benefit of any creditor or creditors or should an interim receiver, receiver, receiver and manager or trustee be appointed for all or any significant part of any Credit Party’s assets, and shall continue to be effective or to be reinstated, as the case may be, if at any time payment and performance of the Obligations, or any part thereof, is, pursuant to applicable law, rescinded or reduced in amount, or must otherwise be restored or returned by any obligee of the Obligations, whether as a fraudulent preference reviewable transaction or otherwise, all as though such payment or performance had not been made. In the event that any payment, or any part thereof, is rescinded, reduced, restored 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420"/>
          </w:cols>
          <w:pgMar w:left="240" w:top="621"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returned, the Obligations shall be reinstated and deemed reduced only by such amount paid and not so rescinded, reduced, restored or returned.</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Borrowers and Agent and each Lender and their respective successors and permitted assigns.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8"/>
          <w:szCs w:val="18"/>
          <w:u w:val="single" w:color="auto"/>
          <w:color w:val="auto"/>
        </w:rPr>
        <w:t>USA PATRIOT Act Notification</w:t>
      </w:r>
      <w:r>
        <w:rPr>
          <w:rFonts w:ascii="Arial" w:cs="Arial" w:eastAsia="Arial" w:hAnsi="Arial"/>
          <w:sz w:val="18"/>
          <w:szCs w:val="18"/>
          <w:color w:val="auto"/>
        </w:rPr>
        <w:t>. Agent (for itself and not on behalf of any Lender) and each Lender hereby notifies Borrowers that pursuant to the requirements of the USA PATRIOT Act, it is required to obtain, verify and record certain information and documentation that identifies Borrowers, which information includes the name and address of Borrower and such other information that will allow Agent or such Lender, as applicable, to identify Borrowers in accordance with the USA PATRIOT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APPEAR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intending to be legally bound, and intending that this Agreement constitute an agreement executed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seal, each of the parties have caused this Agreement to be executed under seal the day and year first above mentioned.</w:t>
      </w:r>
    </w:p>
    <w:p>
      <w:pPr>
        <w:spacing w:after="0" w:line="304" w:lineRule="exact"/>
        <w:rPr>
          <w:sz w:val="20"/>
          <w:szCs w:val="20"/>
          <w:color w:val="auto"/>
        </w:rPr>
      </w:pPr>
    </w:p>
    <w:p>
      <w:pPr>
        <w:ind w:left="40"/>
        <w:spacing w:after="0"/>
        <w:tabs>
          <w:tab w:leader="none" w:pos="4240" w:val="left"/>
        </w:tabs>
        <w:rPr>
          <w:sz w:val="20"/>
          <w:szCs w:val="20"/>
          <w:color w:val="auto"/>
        </w:rPr>
      </w:pPr>
      <w:r>
        <w:rPr>
          <w:rFonts w:ascii="Arial" w:cs="Arial" w:eastAsia="Arial" w:hAnsi="Arial"/>
          <w:sz w:val="20"/>
          <w:szCs w:val="20"/>
          <w:b w:val="1"/>
          <w:bCs w:val="1"/>
          <w:color w:val="auto"/>
        </w:rPr>
        <w:t>BORROWERS:</w:t>
      </w:r>
      <w:r>
        <w:rPr>
          <w:sz w:val="20"/>
          <w:szCs w:val="20"/>
          <w:color w:val="auto"/>
        </w:rPr>
        <w:tab/>
      </w:r>
      <w:r>
        <w:rPr>
          <w:rFonts w:ascii="Arial" w:cs="Arial" w:eastAsia="Arial" w:hAnsi="Arial"/>
          <w:sz w:val="20"/>
          <w:szCs w:val="20"/>
          <w:b w:val="1"/>
          <w:bCs w:val="1"/>
          <w:color w:val="auto"/>
        </w:rPr>
        <w:t>PTC Therapeutics, Inc.</w:t>
      </w:r>
    </w:p>
    <w:p>
      <w:pPr>
        <w:spacing w:after="0" w:line="222"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By: /s/ Mark E. Boulding</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Name: Mark E. Boulding</w:t>
      </w:r>
    </w:p>
    <w:p>
      <w:pPr>
        <w:ind w:left="4260"/>
        <w:spacing w:after="0"/>
        <w:rPr>
          <w:sz w:val="20"/>
          <w:szCs w:val="20"/>
          <w:color w:val="auto"/>
        </w:rPr>
      </w:pPr>
      <w:r>
        <w:rPr>
          <w:rFonts w:ascii="Arial" w:cs="Arial" w:eastAsia="Arial" w:hAnsi="Arial"/>
          <w:sz w:val="20"/>
          <w:szCs w:val="20"/>
          <w:color w:val="auto"/>
        </w:rPr>
        <w:t>Title: Executive Vice President, Chief Legal Officer</w:t>
      </w:r>
    </w:p>
    <w:p>
      <w:pPr>
        <w:spacing w:after="0" w:line="213" w:lineRule="exact"/>
        <w:rPr>
          <w:sz w:val="20"/>
          <w:szCs w:val="20"/>
          <w:color w:val="auto"/>
        </w:rPr>
      </w:pPr>
    </w:p>
    <w:p>
      <w:pPr>
        <w:ind w:left="426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 100 Corporate Court, South Plainfield, NJ 07080</w:t>
      </w:r>
    </w:p>
    <w:p>
      <w:pPr>
        <w:spacing w:after="0" w:line="1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Attn: Mark E. Boulding</w:t>
      </w:r>
    </w:p>
    <w:p>
      <w:pPr>
        <w:ind w:left="4260"/>
        <w:spacing w:after="0"/>
        <w:rPr>
          <w:sz w:val="20"/>
          <w:szCs w:val="20"/>
          <w:color w:val="auto"/>
        </w:rPr>
      </w:pPr>
      <w:r>
        <w:rPr>
          <w:rFonts w:ascii="Arial" w:cs="Arial" w:eastAsia="Arial" w:hAnsi="Arial"/>
          <w:sz w:val="20"/>
          <w:szCs w:val="20"/>
          <w:color w:val="auto"/>
        </w:rPr>
        <w:t>Facsimile:</w:t>
      </w:r>
    </w:p>
    <w:p>
      <w:pPr>
        <w:ind w:left="4260"/>
        <w:spacing w:after="0"/>
        <w:rPr>
          <w:sz w:val="20"/>
          <w:szCs w:val="20"/>
          <w:color w:val="auto"/>
        </w:rPr>
      </w:pPr>
      <w:r>
        <w:rPr>
          <w:rFonts w:ascii="Arial" w:cs="Arial" w:eastAsia="Arial" w:hAnsi="Arial"/>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420"/>
          </w:cols>
          <w:pgMar w:left="240" w:top="625" w:right="23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auto"/>
        </w:rPr>
        <w:t>AGENT:</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MIDCAP FINANCIAL TRUST</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Maurice Amsellem</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Maurice Amsellem</w:t>
      </w:r>
    </w:p>
    <w:p>
      <w:pPr>
        <w:ind w:left="49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18"/>
          <w:szCs w:val="18"/>
          <w:color w:val="auto"/>
        </w:rPr>
        <w:t>Attn: Acct Manager for PTC Therapeutics transaction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Facsimile: 301-941-1450</w:t>
      </w:r>
    </w:p>
    <w:p>
      <w:pPr>
        <w:spacing w:after="0" w:line="200" w:lineRule="exact"/>
        <w:rPr>
          <w:sz w:val="20"/>
          <w:szCs w:val="20"/>
          <w:color w:val="auto"/>
        </w:rPr>
      </w:pPr>
    </w:p>
    <w:p>
      <w:pPr>
        <w:spacing w:after="0" w:line="25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20"/>
          <w:szCs w:val="20"/>
          <w:color w:val="auto"/>
        </w:rPr>
        <w:t>Attn: General Counsel</w:t>
      </w:r>
    </w:p>
    <w:p>
      <w:pPr>
        <w:ind w:left="4840"/>
        <w:spacing w:after="0"/>
        <w:rPr>
          <w:sz w:val="20"/>
          <w:szCs w:val="20"/>
          <w:color w:val="auto"/>
        </w:rPr>
      </w:pPr>
      <w:r>
        <w:rPr>
          <w:rFonts w:ascii="Arial" w:cs="Arial" w:eastAsia="Arial" w:hAnsi="Arial"/>
          <w:sz w:val="20"/>
          <w:szCs w:val="20"/>
          <w:color w:val="auto"/>
        </w:rPr>
        <w:t>Facsimile: 301-941-1450</w:t>
      </w:r>
    </w:p>
    <w:p>
      <w:pPr>
        <w:sectPr>
          <w:pgSz w:w="11900" w:h="16838" w:orient="portrait"/>
          <w:cols w:equalWidth="0" w:num="1">
            <w:col w:w="10179"/>
          </w:cols>
          <w:pgMar w:left="280" w:top="778" w:right="1440" w:bottom="1440" w:gutter="0" w:footer="0" w:header="0"/>
        </w:sectPr>
      </w:pPr>
    </w:p>
    <w:bookmarkStart w:id="97" w:name="page98"/>
    <w:bookmarkEnd w:id="97"/>
    <w:p>
      <w:pPr>
        <w:spacing w:after="0"/>
        <w:tabs>
          <w:tab w:leader="none" w:pos="48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III TRUST</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Maurice Amsellem</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Maurice Amsellem</w:t>
      </w:r>
    </w:p>
    <w:p>
      <w:pPr>
        <w:ind w:left="49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18"/>
          <w:szCs w:val="18"/>
          <w:color w:val="auto"/>
        </w:rPr>
        <w:t>Attn: Account Manager for PTC Therapeutics transaction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Facsimile: 301-941-1450</w:t>
      </w:r>
    </w:p>
    <w:p>
      <w:pPr>
        <w:spacing w:after="0" w:line="200" w:lineRule="exact"/>
        <w:rPr>
          <w:sz w:val="20"/>
          <w:szCs w:val="20"/>
          <w:color w:val="auto"/>
        </w:rPr>
      </w:pPr>
    </w:p>
    <w:p>
      <w:pPr>
        <w:spacing w:after="0" w:line="25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20"/>
          <w:szCs w:val="20"/>
          <w:color w:val="auto"/>
        </w:rPr>
        <w:t>Attn: General Counsel</w:t>
      </w:r>
    </w:p>
    <w:p>
      <w:pPr>
        <w:ind w:left="4840"/>
        <w:spacing w:after="0"/>
        <w:rPr>
          <w:sz w:val="20"/>
          <w:szCs w:val="20"/>
          <w:color w:val="auto"/>
        </w:rPr>
      </w:pPr>
      <w:r>
        <w:rPr>
          <w:rFonts w:ascii="Arial" w:cs="Arial" w:eastAsia="Arial" w:hAnsi="Arial"/>
          <w:sz w:val="20"/>
          <w:szCs w:val="20"/>
          <w:color w:val="auto"/>
        </w:rPr>
        <w:t>Facsimile: 301-941-1450</w:t>
      </w:r>
    </w:p>
    <w:p>
      <w:pPr>
        <w:sectPr>
          <w:pgSz w:w="11900" w:h="16838" w:orient="portrait"/>
          <w:cols w:equalWidth="0" w:num="1">
            <w:col w:w="10179"/>
          </w:cols>
          <w:pgMar w:left="280" w:top="778" w:right="1440" w:bottom="1440" w:gutter="0" w:footer="0" w:header="0"/>
        </w:sectPr>
      </w:pPr>
    </w:p>
    <w:bookmarkStart w:id="98" w:name="page99"/>
    <w:bookmarkEnd w:id="98"/>
    <w:p>
      <w:pPr>
        <w:spacing w:after="0"/>
        <w:tabs>
          <w:tab w:leader="none" w:pos="48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MIDCAP FUNDING XIII TRUST</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Apollo Capital Management GP, LLC,</w:t>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43"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Maurice Amsellem</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Maurice Amsellem</w:t>
      </w:r>
    </w:p>
    <w:p>
      <w:pPr>
        <w:ind w:left="49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18"/>
          <w:szCs w:val="18"/>
          <w:color w:val="auto"/>
        </w:rPr>
        <w:t>Attn: Account Manager for PTC Therapeutics transaction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Facsimile: 301-941-1450</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c/o MidCap Financial Services, LLC, as servicer</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20"/>
          <w:szCs w:val="20"/>
          <w:color w:val="auto"/>
        </w:rPr>
        <w:t>Attn: General Counsel</w:t>
      </w:r>
    </w:p>
    <w:p>
      <w:pPr>
        <w:ind w:left="4840"/>
        <w:spacing w:after="0"/>
        <w:rPr>
          <w:sz w:val="20"/>
          <w:szCs w:val="20"/>
          <w:color w:val="auto"/>
        </w:rPr>
      </w:pPr>
      <w:r>
        <w:rPr>
          <w:rFonts w:ascii="Arial" w:cs="Arial" w:eastAsia="Arial" w:hAnsi="Arial"/>
          <w:sz w:val="20"/>
          <w:szCs w:val="20"/>
          <w:color w:val="auto"/>
        </w:rPr>
        <w:t>Facsimile: 301-941-1450</w:t>
      </w:r>
    </w:p>
    <w:p>
      <w:pPr>
        <w:sectPr>
          <w:pgSz w:w="11900" w:h="16838" w:orient="portrait"/>
          <w:cols w:equalWidth="0" w:num="1">
            <w:col w:w="10179"/>
          </w:cols>
          <w:pgMar w:left="280" w:top="1008" w:right="1440" w:bottom="1440" w:gutter="0" w:footer="0" w:header="0"/>
        </w:sectPr>
      </w:pPr>
    </w:p>
    <w:bookmarkStart w:id="99" w:name="page100"/>
    <w:bookmarkEnd w:id="99"/>
    <w:p>
      <w:pPr>
        <w:spacing w:after="0"/>
        <w:tabs>
          <w:tab w:leader="none" w:pos="48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FLEXPOINT MCLS HOLDINGS LLC</w:t>
      </w:r>
    </w:p>
    <w:p>
      <w:pPr>
        <w:spacing w:after="0" w:line="200" w:lineRule="exact"/>
        <w:rPr>
          <w:sz w:val="20"/>
          <w:szCs w:val="20"/>
          <w:color w:val="auto"/>
        </w:rPr>
      </w:pPr>
    </w:p>
    <w:p>
      <w:pPr>
        <w:spacing w:after="0" w:line="26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 /s/ Daniel Edelman</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Name: Daniel Edelman</w:t>
      </w:r>
    </w:p>
    <w:p>
      <w:pPr>
        <w:ind w:left="49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Flexpoint MCLS Holdings, LLC</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 MidCap Financial Services, LLC, as servicer</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19"/>
          <w:szCs w:val="19"/>
          <w:color w:val="auto"/>
        </w:rPr>
        <w:t>Attn: Account Manager for Invuity transaction</w:t>
      </w:r>
    </w:p>
    <w:p>
      <w:pPr>
        <w:spacing w:after="0" w:line="11"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Facsimile: 301-941-1450</w:t>
      </w:r>
    </w:p>
    <w:p>
      <w:pPr>
        <w:spacing w:after="0" w:line="200" w:lineRule="exact"/>
        <w:rPr>
          <w:sz w:val="20"/>
          <w:szCs w:val="20"/>
          <w:color w:val="auto"/>
        </w:rPr>
      </w:pPr>
    </w:p>
    <w:p>
      <w:pPr>
        <w:spacing w:after="0" w:line="25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Flexpoint MCLS Holdings, LLC</w:t>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 MidCap Financial Services, LLC, as servicer</w:t>
      </w:r>
    </w:p>
    <w:p>
      <w:pPr>
        <w:spacing w:after="0" w:line="22"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7255 Woodmont Avenue, Suite 200</w:t>
      </w:r>
    </w:p>
    <w:p>
      <w:pPr>
        <w:ind w:left="4840"/>
        <w:spacing w:after="0"/>
        <w:rPr>
          <w:sz w:val="20"/>
          <w:szCs w:val="20"/>
          <w:color w:val="auto"/>
        </w:rPr>
      </w:pPr>
      <w:r>
        <w:rPr>
          <w:rFonts w:ascii="Arial" w:cs="Arial" w:eastAsia="Arial" w:hAnsi="Arial"/>
          <w:sz w:val="20"/>
          <w:szCs w:val="20"/>
          <w:color w:val="auto"/>
        </w:rPr>
        <w:t>Bethesda, Maryland 20814</w:t>
      </w:r>
    </w:p>
    <w:p>
      <w:pPr>
        <w:ind w:left="4840"/>
        <w:spacing w:after="0"/>
        <w:rPr>
          <w:sz w:val="20"/>
          <w:szCs w:val="20"/>
          <w:color w:val="auto"/>
        </w:rPr>
      </w:pPr>
      <w:r>
        <w:rPr>
          <w:rFonts w:ascii="Arial" w:cs="Arial" w:eastAsia="Arial" w:hAnsi="Arial"/>
          <w:sz w:val="20"/>
          <w:szCs w:val="20"/>
          <w:color w:val="auto"/>
        </w:rPr>
        <w:t>Attn: General Counsel</w:t>
      </w:r>
    </w:p>
    <w:p>
      <w:pPr>
        <w:ind w:left="4840"/>
        <w:spacing w:after="0"/>
        <w:rPr>
          <w:sz w:val="20"/>
          <w:szCs w:val="20"/>
          <w:color w:val="auto"/>
        </w:rPr>
      </w:pPr>
      <w:r>
        <w:rPr>
          <w:rFonts w:ascii="Arial" w:cs="Arial" w:eastAsia="Arial" w:hAnsi="Arial"/>
          <w:sz w:val="20"/>
          <w:szCs w:val="20"/>
          <w:color w:val="auto"/>
        </w:rPr>
        <w:t>Facsimile: 301-941-1450</w:t>
      </w:r>
    </w:p>
    <w:p>
      <w:pPr>
        <w:sectPr>
          <w:pgSz w:w="11900" w:h="16838" w:orient="portrait"/>
          <w:cols w:equalWidth="0" w:num="1">
            <w:col w:w="10179"/>
          </w:cols>
          <w:pgMar w:left="280" w:top="1008" w:right="1440" w:bottom="1440" w:gutter="0" w:footer="0" w:header="0"/>
        </w:sectPr>
      </w:pPr>
    </w:p>
    <w:bookmarkStart w:id="100" w:name="page101"/>
    <w:bookmarkEnd w:id="100"/>
    <w:p>
      <w:pPr>
        <w:spacing w:after="0"/>
        <w:tabs>
          <w:tab w:leader="none" w:pos="4820" w:val="left"/>
        </w:tabs>
        <w:rPr>
          <w:sz w:val="20"/>
          <w:szCs w:val="20"/>
          <w:color w:val="auto"/>
        </w:rPr>
      </w:pPr>
      <w:r>
        <w:rPr>
          <w:rFonts w:ascii="Arial" w:cs="Arial" w:eastAsia="Arial" w:hAnsi="Arial"/>
          <w:sz w:val="20"/>
          <w:szCs w:val="20"/>
          <w:b w:val="1"/>
          <w:bCs w:val="1"/>
          <w:color w:val="auto"/>
        </w:rPr>
        <w:t>LENDER:</w:t>
      </w:r>
      <w:r>
        <w:rPr>
          <w:sz w:val="20"/>
          <w:szCs w:val="20"/>
          <w:color w:val="auto"/>
        </w:rPr>
        <w:tab/>
      </w:r>
      <w:r>
        <w:rPr>
          <w:rFonts w:ascii="Arial" w:cs="Arial" w:eastAsia="Arial" w:hAnsi="Arial"/>
          <w:sz w:val="20"/>
          <w:szCs w:val="20"/>
          <w:b w:val="1"/>
          <w:bCs w:val="1"/>
          <w:color w:val="auto"/>
        </w:rPr>
        <w:t>APOLLO INVESTMENT CORPORATION</w:t>
      </w:r>
    </w:p>
    <w:p>
      <w:pPr>
        <w:spacing w:after="0" w:line="23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Apollo Investment Management, L.P., as Advisor</w:t>
      </w:r>
    </w:p>
    <w:p>
      <w:pPr>
        <w:spacing w:after="0" w:line="3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ACC Management, LLC, as its General Partner</w:t>
      </w:r>
    </w:p>
    <w:p>
      <w:pPr>
        <w:spacing w:after="0" w:line="236"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By: /s/ Tanner Powell</w:t>
      </w:r>
    </w:p>
    <w:p>
      <w:pPr>
        <w:spacing w:after="0" w:line="1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Name: Tanner Powell</w:t>
      </w:r>
    </w:p>
    <w:p>
      <w:pPr>
        <w:ind w:left="49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Apollo Investment Corporation</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9 West 57th Street, 37th Floor</w:t>
      </w:r>
    </w:p>
    <w:p>
      <w:pPr>
        <w:ind w:left="4840"/>
        <w:spacing w:after="0"/>
        <w:rPr>
          <w:sz w:val="20"/>
          <w:szCs w:val="20"/>
          <w:color w:val="auto"/>
        </w:rPr>
      </w:pPr>
      <w:r>
        <w:rPr>
          <w:rFonts w:ascii="Arial" w:cs="Arial" w:eastAsia="Arial" w:hAnsi="Arial"/>
          <w:sz w:val="20"/>
          <w:szCs w:val="20"/>
          <w:color w:val="auto"/>
        </w:rPr>
        <w:t>New York, New York 10019</w:t>
      </w:r>
    </w:p>
    <w:p>
      <w:pPr>
        <w:ind w:left="4840"/>
        <w:spacing w:after="0"/>
        <w:rPr>
          <w:sz w:val="20"/>
          <w:szCs w:val="20"/>
          <w:color w:val="auto"/>
        </w:rPr>
      </w:pPr>
      <w:r>
        <w:rPr>
          <w:rFonts w:ascii="Arial" w:cs="Arial" w:eastAsia="Arial" w:hAnsi="Arial"/>
          <w:sz w:val="20"/>
          <w:szCs w:val="20"/>
          <w:color w:val="auto"/>
        </w:rPr>
        <w:t>Attn: Howard Widra</w:t>
      </w:r>
    </w:p>
    <w:p>
      <w:pPr>
        <w:spacing w:after="0" w:line="213"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Apollo Investment Corporation</w:t>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730 Fifth Avenue, 11th Floor</w:t>
      </w:r>
    </w:p>
    <w:p>
      <w:pPr>
        <w:ind w:left="4840"/>
        <w:spacing w:after="0"/>
        <w:rPr>
          <w:sz w:val="20"/>
          <w:szCs w:val="20"/>
          <w:color w:val="auto"/>
        </w:rPr>
      </w:pPr>
      <w:r>
        <w:rPr>
          <w:rFonts w:ascii="Arial" w:cs="Arial" w:eastAsia="Arial" w:hAnsi="Arial"/>
          <w:sz w:val="20"/>
          <w:szCs w:val="20"/>
          <w:color w:val="auto"/>
        </w:rPr>
        <w:t>New York, New York 10019</w:t>
      </w:r>
    </w:p>
    <w:p>
      <w:pPr>
        <w:ind w:left="4840"/>
        <w:spacing w:after="0"/>
        <w:rPr>
          <w:sz w:val="20"/>
          <w:szCs w:val="20"/>
          <w:color w:val="auto"/>
        </w:rPr>
      </w:pPr>
      <w:r>
        <w:rPr>
          <w:rFonts w:ascii="Arial" w:cs="Arial" w:eastAsia="Arial" w:hAnsi="Arial"/>
          <w:sz w:val="20"/>
          <w:szCs w:val="20"/>
          <w:color w:val="auto"/>
        </w:rPr>
        <w:t>Attn: Sheriff Ibrahim, Jonathan Krain</w:t>
      </w:r>
    </w:p>
    <w:p>
      <w:pPr>
        <w:ind w:left="4840"/>
        <w:spacing w:after="0"/>
        <w:rPr>
          <w:sz w:val="20"/>
          <w:szCs w:val="20"/>
          <w:color w:val="auto"/>
        </w:rPr>
      </w:pPr>
      <w:r>
        <w:rPr>
          <w:rFonts w:ascii="Arial" w:cs="Arial" w:eastAsia="Arial" w:hAnsi="Arial"/>
          <w:sz w:val="20"/>
          <w:szCs w:val="20"/>
          <w:color w:val="auto"/>
        </w:rPr>
        <w:t>Facsimile: 602-680-4108</w:t>
      </w:r>
    </w:p>
    <w:p>
      <w:pPr>
        <w:sectPr>
          <w:pgSz w:w="11900" w:h="16838" w:orient="portrait"/>
          <w:cols w:equalWidth="0" w:num="1">
            <w:col w:w="10179"/>
          </w:cols>
          <w:pgMar w:left="280" w:top="778"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A to Credit Agreement (Reserved)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 to Credit Agreement (Form of Compliance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Compliance  Certificate  is  given  by  _____________________,  a  Responsible  Officer  of  PTC  Therapeutics,  Inc.  (the  “</w:t>
      </w:r>
      <w:r>
        <w:rPr>
          <w:rFonts w:ascii="Arial" w:cs="Arial" w:eastAsia="Arial" w:hAnsi="Arial"/>
          <w:sz w:val="17"/>
          <w:szCs w:val="17"/>
          <w:b w:val="1"/>
          <w:bCs w:val="1"/>
          <w:color w:val="auto"/>
        </w:rPr>
        <w:t>Borrower</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Representative</w:t>
      </w:r>
      <w:r>
        <w:rPr>
          <w:rFonts w:ascii="Arial" w:cs="Arial" w:eastAsia="Arial" w:hAnsi="Arial"/>
          <w:sz w:val="18"/>
          <w:szCs w:val="18"/>
          <w:color w:val="auto"/>
        </w:rPr>
        <w:t>”), pursuant to that certain Credit and Security Agreement dated as of May 5, 2017 among the Borrower Representative, and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Responsible Officer hereby certifies to Agent and Lenders that:</w:t>
      </w:r>
    </w:p>
    <w:p>
      <w:pPr>
        <w:spacing w:after="0" w:line="225" w:lineRule="exact"/>
        <w:rPr>
          <w:sz w:val="20"/>
          <w:szCs w:val="20"/>
          <w:color w:val="auto"/>
        </w:rPr>
      </w:pPr>
    </w:p>
    <w:p>
      <w:pPr>
        <w:jc w:val="both"/>
        <w:ind w:firstLine="656"/>
        <w:spacing w:after="0" w:line="286" w:lineRule="auto"/>
        <w:tabs>
          <w:tab w:leader="none" w:pos="11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financial statements delivered with this certificate in accordance with Section 4.1 of the Credit Agreement fairly present in all material respects the results of operations and financial condition of Borrowers and their Consolidated Subsidiaries as of the dates and the accounting period covered by such financial statements, subject in the case of interim financial statements, to year end reconciliation and the absence of footnotes;</w:t>
      </w:r>
    </w:p>
    <w:p>
      <w:pPr>
        <w:spacing w:after="0" w:line="165" w:lineRule="exact"/>
        <w:rPr>
          <w:rFonts w:ascii="Arial" w:cs="Arial" w:eastAsia="Arial" w:hAnsi="Arial"/>
          <w:sz w:val="17"/>
          <w:szCs w:val="17"/>
          <w:color w:val="auto"/>
        </w:rPr>
      </w:pPr>
    </w:p>
    <w:p>
      <w:pPr>
        <w:jc w:val="both"/>
        <w:ind w:firstLine="656"/>
        <w:spacing w:after="0" w:line="279" w:lineRule="auto"/>
        <w:tabs>
          <w:tab w:leader="none" w:pos="109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representations and warranties of each Credit Party contained in the Financing Documents are true, correct and complete in all material respects on and as of the date hereof, except to the extent that any such representation or warranty relates to a specific date in which case such representation or warranty shall be true and correct in all material respects as of such earlier date; provided, however, in each case, such materiality qualifier shall not be applicable to any representations and warranties that already are qualified or modified by materiality in the text thereof;</w:t>
      </w:r>
    </w:p>
    <w:p>
      <w:pPr>
        <w:spacing w:after="0" w:line="171" w:lineRule="exact"/>
        <w:rPr>
          <w:rFonts w:ascii="Arial" w:cs="Arial" w:eastAsia="Arial" w:hAnsi="Arial"/>
          <w:sz w:val="17"/>
          <w:szCs w:val="17"/>
          <w:color w:val="auto"/>
        </w:rPr>
      </w:pPr>
    </w:p>
    <w:p>
      <w:pPr>
        <w:jc w:val="both"/>
        <w:ind w:firstLine="656"/>
        <w:spacing w:after="0" w:line="297" w:lineRule="auto"/>
        <w:tabs>
          <w:tab w:leader="none" w:pos="1034"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 have reviewed the terms of the Credit Agreement and have made, or caused to be made under my supervision, a review in reasonable detail of the transactions and conditions of Borrowers and their Consolidated Subsidiaries during the accounting period covered by such financial statements, and such review has not disclosed the existence during or at the end of such accounting period, and I have no knowledge of the existence as of the date hereof, of any condition or event that constitutes a Default or an Event of Default, except as set forth in </w:t>
      </w:r>
      <w:r>
        <w:rPr>
          <w:rFonts w:ascii="Arial" w:cs="Arial" w:eastAsia="Arial" w:hAnsi="Arial"/>
          <w:sz w:val="16"/>
          <w:szCs w:val="16"/>
          <w:b w:val="1"/>
          <w:bCs w:val="1"/>
          <w:u w:val="single" w:color="auto"/>
          <w:color w:val="auto"/>
        </w:rPr>
        <w:t>Schedule 1</w:t>
      </w:r>
      <w:r>
        <w:rPr>
          <w:rFonts w:ascii="Arial" w:cs="Arial" w:eastAsia="Arial" w:hAnsi="Arial"/>
          <w:sz w:val="16"/>
          <w:szCs w:val="16"/>
          <w:color w:val="auto"/>
        </w:rPr>
        <w:t xml:space="preserve"> hereto, which includes a description of the nature and period of existence of such Default or an Event of Default and what action Borrowers have taken, are undertaking and propose to take with respect thereto;</w:t>
      </w:r>
    </w:p>
    <w:p>
      <w:pPr>
        <w:spacing w:after="0" w:line="154" w:lineRule="exact"/>
        <w:rPr>
          <w:rFonts w:ascii="Arial" w:cs="Arial" w:eastAsia="Arial" w:hAnsi="Arial"/>
          <w:sz w:val="16"/>
          <w:szCs w:val="16"/>
          <w:color w:val="auto"/>
        </w:rPr>
      </w:pPr>
    </w:p>
    <w:p>
      <w:pPr>
        <w:jc w:val="both"/>
        <w:ind w:firstLine="656"/>
        <w:spacing w:after="0" w:line="266" w:lineRule="auto"/>
        <w:tabs>
          <w:tab w:leader="none" w:pos="107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2</w:t>
      </w:r>
      <w:r>
        <w:rPr>
          <w:rFonts w:ascii="Arial" w:cs="Arial" w:eastAsia="Arial" w:hAnsi="Arial"/>
          <w:sz w:val="18"/>
          <w:szCs w:val="18"/>
          <w:color w:val="auto"/>
        </w:rPr>
        <w:t xml:space="preserve"> attached hereto, </w:t>
      </w:r>
      <w:r>
        <w:rPr>
          <w:rFonts w:ascii="Arial" w:cs="Arial" w:eastAsia="Arial" w:hAnsi="Arial"/>
          <w:sz w:val="18"/>
          <w:szCs w:val="18"/>
          <w:u w:val="single" w:color="auto"/>
          <w:color w:val="auto"/>
        </w:rPr>
        <w:t>Schedule 9.2(b)</w:t>
      </w:r>
      <w:r>
        <w:rPr>
          <w:rFonts w:ascii="Arial" w:cs="Arial" w:eastAsia="Arial" w:hAnsi="Arial"/>
          <w:sz w:val="18"/>
          <w:szCs w:val="18"/>
          <w:color w:val="auto"/>
        </w:rPr>
        <w:t xml:space="preserve"> to the Credit Agreement contains a complete and accurate list of all business locations of Borrowers and Guarantors and all names under which Borrowers and Guarantors currently conduct business;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specifically notes any changes in the names under which any Borrower or Guarantors conduct business;</w:t>
      </w:r>
    </w:p>
    <w:p>
      <w:pPr>
        <w:spacing w:after="0" w:line="176" w:lineRule="exact"/>
        <w:rPr>
          <w:rFonts w:ascii="Arial" w:cs="Arial" w:eastAsia="Arial" w:hAnsi="Arial"/>
          <w:sz w:val="18"/>
          <w:szCs w:val="18"/>
          <w:color w:val="auto"/>
        </w:rPr>
      </w:pPr>
    </w:p>
    <w:p>
      <w:pPr>
        <w:jc w:val="both"/>
        <w:ind w:firstLine="656"/>
        <w:spacing w:after="0" w:line="314" w:lineRule="auto"/>
        <w:tabs>
          <w:tab w:leader="none" w:pos="104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except as noted on </w:t>
      </w:r>
      <w:r>
        <w:rPr>
          <w:rFonts w:ascii="Arial" w:cs="Arial" w:eastAsia="Arial" w:hAnsi="Arial"/>
          <w:sz w:val="16"/>
          <w:szCs w:val="16"/>
          <w:b w:val="1"/>
          <w:bCs w:val="1"/>
          <w:u w:val="single" w:color="auto"/>
          <w:color w:val="auto"/>
        </w:rPr>
        <w:t>Schedule 3</w:t>
      </w:r>
      <w:r>
        <w:rPr>
          <w:rFonts w:ascii="Arial" w:cs="Arial" w:eastAsia="Arial" w:hAnsi="Arial"/>
          <w:sz w:val="16"/>
          <w:szCs w:val="16"/>
          <w:color w:val="auto"/>
        </w:rPr>
        <w:t xml:space="preserve"> attached hereto, the undersigned has no knowledge of (i) any federal or state tax liens having been filed against any Borrower, Guarantor or any Collateral, or (ii) any failure of any Borrower or any Guarantors to make required payments of withholding or other tax obligations of any Borrower or any Guarantors during the accounting period to which the attached statements pertain or any subsequent period;</w:t>
      </w:r>
    </w:p>
    <w:p>
      <w:pPr>
        <w:spacing w:after="0" w:line="146" w:lineRule="exact"/>
        <w:rPr>
          <w:rFonts w:ascii="Arial" w:cs="Arial" w:eastAsia="Arial" w:hAnsi="Arial"/>
          <w:sz w:val="16"/>
          <w:szCs w:val="16"/>
          <w:color w:val="auto"/>
        </w:rPr>
      </w:pPr>
    </w:p>
    <w:p>
      <w:pPr>
        <w:ind w:firstLine="656"/>
        <w:spacing w:after="0" w:line="277" w:lineRule="auto"/>
        <w:tabs>
          <w:tab w:leader="none" w:pos="1008"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Schedule 5.14</w:t>
      </w:r>
      <w:r>
        <w:rPr>
          <w:rFonts w:ascii="Arial" w:cs="Arial" w:eastAsia="Arial" w:hAnsi="Arial"/>
          <w:sz w:val="18"/>
          <w:szCs w:val="18"/>
          <w:color w:val="auto"/>
        </w:rPr>
        <w:t xml:space="preserve"> to the Credit Agreement contains a complete and accurate statement of all deposit accounts or investment accounts maintained by Borrowers and Guarantors;</w:t>
      </w:r>
    </w:p>
    <w:p>
      <w:pPr>
        <w:sectPr>
          <w:pgSz w:w="11900" w:h="16838" w:orient="portrait"/>
          <w:cols w:equalWidth="0" w:num="1">
            <w:col w:w="11420"/>
          </w:cols>
          <w:pgMar w:left="240" w:top="878" w:right="239" w:bottom="1440" w:gutter="0" w:footer="0" w:header="0"/>
        </w:sectPr>
      </w:pPr>
    </w:p>
    <w:bookmarkStart w:id="102" w:name="page103"/>
    <w:bookmarkEnd w:id="102"/>
    <w:p>
      <w:pPr>
        <w:jc w:val="both"/>
        <w:ind w:firstLine="656"/>
        <w:spacing w:after="0" w:line="266" w:lineRule="auto"/>
        <w:tabs>
          <w:tab w:leader="none" w:pos="10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 no Borrower or Guarantor has acquired, by purchase or otherwise, any Chattel Paper, Letter of Credit Rights, Instruments, Documents or Investment Property that has not previously been reported to Agent on any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to any previous Compliance Certificate delivered by Borrower Representative to Agent;</w:t>
      </w:r>
    </w:p>
    <w:p>
      <w:pPr>
        <w:spacing w:after="0" w:line="180" w:lineRule="exact"/>
        <w:rPr>
          <w:rFonts w:ascii="Arial" w:cs="Arial" w:eastAsia="Arial" w:hAnsi="Arial"/>
          <w:sz w:val="18"/>
          <w:szCs w:val="18"/>
          <w:color w:val="auto"/>
        </w:rPr>
      </w:pPr>
    </w:p>
    <w:p>
      <w:pPr>
        <w:jc w:val="both"/>
        <w:ind w:firstLine="656"/>
        <w:spacing w:after="0" w:line="264" w:lineRule="auto"/>
        <w:tabs>
          <w:tab w:leader="none" w:pos="10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except as noted on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attached hereto, no Borrower or Guarantor is aware of any commercial tort claim involving claims in excess of $100,000 that has not previously been reported to Agent on any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to any previous Compliance Certificate delivered by Borrower Representative to Agent; and</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Borrowers and Guarantor are in compliance with the covenants contained in Article 6 of the Credit Agreement, and in any Guarantee constituting a part of the Financing Documents, as demonstrated by the calculation of such covenants below, except as set forth below; in determining such compliance, the following calculations have been made: [See attached worksheets]. Such calculations and the certifications contained therein are true, correct and complete.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certifications and computations are made as of ________________, 201__ (end of month) and as of _____________, 201__.</w:t>
      </w:r>
    </w:p>
    <w:p>
      <w:pPr>
        <w:spacing w:after="0" w:line="39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PTC THERAPEUTICS, INC.</w:t>
      </w:r>
    </w:p>
    <w:p>
      <w:pPr>
        <w:spacing w:after="0" w:line="33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 to Credit Agreement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 to Credit Agreement (Form of Notice of Borrowing)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BORROWING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Notice  of  Borrowing  is  given  by  _____________________,  a  Responsible  Officer  of  PTC  Therapeutics,  Inc.  (the  “</w:t>
      </w:r>
      <w:r>
        <w:rPr>
          <w:rFonts w:ascii="Arial" w:cs="Arial" w:eastAsia="Arial" w:hAnsi="Arial"/>
          <w:sz w:val="17"/>
          <w:szCs w:val="17"/>
          <w:b w:val="1"/>
          <w:bCs w:val="1"/>
          <w:color w:val="auto"/>
        </w:rPr>
        <w:t>Borrower</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Representative</w:t>
      </w:r>
      <w:r>
        <w:rPr>
          <w:rFonts w:ascii="Arial" w:cs="Arial" w:eastAsia="Arial" w:hAnsi="Arial"/>
          <w:sz w:val="18"/>
          <w:szCs w:val="18"/>
          <w:color w:val="auto"/>
        </w:rPr>
        <w:t>”), pursuant to that certain Credit and Security Agreement dated as of May 5, 2017 among the Borrower Representative, and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Responsible Officer hereby gives notice to Agent of Borrower Representative’s request to borrow $____________________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Loans on _______________, 20___.</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undersigned officer hereby certifies that, both before and after giving effect to the request above (a) each of the conditions precedent set forth in Section 7.2 have been satisfied, (b) all of the representations and warranties</w:t>
      </w:r>
    </w:p>
    <w:p>
      <w:pPr>
        <w:sectPr>
          <w:pgSz w:w="11900" w:h="16838" w:orient="portrait"/>
          <w:cols w:equalWidth="0" w:num="1">
            <w:col w:w="11420"/>
          </w:cols>
          <w:pgMar w:left="240" w:top="621" w:right="239" w:bottom="1440" w:gutter="0" w:footer="0" w:header="0"/>
        </w:sectPr>
      </w:pPr>
    </w:p>
    <w:bookmarkStart w:id="103" w:name="page104"/>
    <w:bookmarkEnd w:id="103"/>
    <w:p>
      <w:pPr>
        <w:jc w:val="both"/>
        <w:spacing w:after="0" w:line="257" w:lineRule="auto"/>
        <w:rPr>
          <w:sz w:val="20"/>
          <w:szCs w:val="20"/>
          <w:color w:val="auto"/>
        </w:rPr>
      </w:pPr>
      <w:r>
        <w:rPr>
          <w:rFonts w:ascii="Arial" w:cs="Arial" w:eastAsia="Arial" w:hAnsi="Arial"/>
          <w:sz w:val="18"/>
          <w:szCs w:val="18"/>
          <w:color w:val="auto"/>
        </w:rPr>
        <w:t>contained in the Credit Agreement and the other Financing Documents are true, correct and complete in all material respects on and as of the date of such borrowing, except to the extent that any such representation or warranty relates to a specific date in which case such representation or warranty shall be true, correct and complete in all material respects as of such earlier date; provided, however, in each case, such materiality qualifier shall not be applicable to any representations and warranties that already are qualified or modified by materiality in the text thereof, and (c) no Default or Event of Default has occurred and is continuing on the date 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undersigned officer has executed and delivered this Notice of Borrowing this ____ day of ___________, 201__.</w:t>
      </w: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Sincerely,</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PTC THERAPEUTICS, INC.</w:t>
      </w:r>
    </w:p>
    <w:p>
      <w:pPr>
        <w:spacing w:after="0" w:line="33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E to Credit Agreement (Closing Checklist)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F-1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U.S. Tax Compliance Certificate is given by _____________________, a Responsible Officer of PTC Therapeutics, Inc. (the</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Representative</w:t>
      </w:r>
      <w:r>
        <w:rPr>
          <w:rFonts w:ascii="Arial" w:cs="Arial" w:eastAsia="Arial" w:hAnsi="Arial"/>
          <w:sz w:val="18"/>
          <w:szCs w:val="18"/>
          <w:color w:val="auto"/>
        </w:rPr>
        <w:t>”), pursuant to that certain Credit and Security Agreement dated as of May 5, 2017 among the Borrower Representative, and any additional 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91"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Pursuant to the provisions of Section 2.8(c)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1" w:lineRule="exact"/>
        <w:rPr>
          <w:sz w:val="20"/>
          <w:szCs w:val="20"/>
          <w:color w:val="auto"/>
        </w:rPr>
      </w:pPr>
    </w:p>
    <w:p>
      <w:pPr>
        <w:jc w:val="both"/>
        <w:ind w:firstLine="1324"/>
        <w:spacing w:after="0" w:line="264" w:lineRule="auto"/>
        <w:rPr>
          <w:sz w:val="20"/>
          <w:szCs w:val="20"/>
          <w:color w:val="auto"/>
        </w:rPr>
      </w:pPr>
      <w:r>
        <w:rPr>
          <w:rFonts w:ascii="Arial" w:cs="Arial" w:eastAsia="Arial" w:hAnsi="Arial"/>
          <w:sz w:val="18"/>
          <w:szCs w:val="18"/>
          <w:color w:val="auto"/>
        </w:rPr>
        <w:t>The undersigned has furnished the Agent and the Borrower Representative with a certificate of its non-U.S. Person status on IRS Form W-8BEN. By executing this certificate, the undersigned agrees that (1) if the information provided on this certificate changes, the undersigned shall promptly so inform the Borrower Representative</w:t>
      </w:r>
    </w:p>
    <w:p>
      <w:pPr>
        <w:sectPr>
          <w:pgSz w:w="11900" w:h="16838" w:orient="portrait"/>
          <w:cols w:equalWidth="0" w:num="1">
            <w:col w:w="11420"/>
          </w:cols>
          <w:pgMar w:left="240" w:top="625" w:right="239" w:bottom="1440" w:gutter="0" w:footer="0" w:header="0"/>
        </w:sectPr>
      </w:pPr>
    </w:p>
    <w:bookmarkStart w:id="104" w:name="page105"/>
    <w:bookmarkEnd w:id="104"/>
    <w:p>
      <w:pPr>
        <w:jc w:val="both"/>
        <w:spacing w:after="0" w:line="264" w:lineRule="auto"/>
        <w:rPr>
          <w:sz w:val="20"/>
          <w:szCs w:val="20"/>
          <w:color w:val="auto"/>
        </w:rPr>
      </w:pPr>
      <w:r>
        <w:rPr>
          <w:rFonts w:ascii="Arial" w:cs="Arial" w:eastAsia="Arial" w:hAnsi="Arial"/>
          <w:sz w:val="18"/>
          <w:szCs w:val="18"/>
          <w:color w:val="auto"/>
        </w:rPr>
        <w:t>and the Agent, and (2) the undersigned shall have at all times furnished the Borrower Representative and the Agent with a properly completed and currently effective certificate in either the calendar year in which each payment is to be made to the undersigned, or in either of the two calendar years preceding such payments.</w:t>
      </w:r>
    </w:p>
    <w:p>
      <w:pPr>
        <w:spacing w:after="0" w:line="3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[NAME OF LENDER]</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u w:val="single" w:color="auto"/>
          <w:color w:val="auto"/>
        </w:rPr>
        <w:t>By:</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F-2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U.S. Tax Compliance Certificate is given by _____________________, a Responsible Officer of ________________ (the “</w:t>
      </w:r>
      <w:r>
        <w:rPr>
          <w:rFonts w:ascii="Arial" w:cs="Arial" w:eastAsia="Arial" w:hAnsi="Arial"/>
          <w:sz w:val="16"/>
          <w:szCs w:val="16"/>
          <w:b w:val="1"/>
          <w:bCs w:val="1"/>
          <w:color w:val="auto"/>
        </w:rPr>
        <w:t>Borrower</w:t>
      </w:r>
    </w:p>
    <w:p>
      <w:pPr>
        <w:spacing w:after="0" w:line="50" w:lineRule="exact"/>
        <w:rPr>
          <w:sz w:val="20"/>
          <w:szCs w:val="20"/>
          <w:color w:val="auto"/>
        </w:rPr>
      </w:pPr>
    </w:p>
    <w:p>
      <w:pPr>
        <w:spacing w:after="0"/>
        <w:tabs>
          <w:tab w:leader="none" w:pos="11140" w:val="left"/>
        </w:tabs>
        <w:rPr>
          <w:sz w:val="20"/>
          <w:szCs w:val="20"/>
          <w:color w:val="auto"/>
        </w:rPr>
      </w:pPr>
      <w:r>
        <w:rPr>
          <w:rFonts w:ascii="Arial" w:cs="Arial" w:eastAsia="Arial" w:hAnsi="Arial"/>
          <w:sz w:val="17"/>
          <w:szCs w:val="17"/>
          <w:b w:val="1"/>
          <w:bCs w:val="1"/>
          <w:color w:val="auto"/>
        </w:rPr>
        <w:t>Representative</w:t>
      </w:r>
      <w:r>
        <w:rPr>
          <w:rFonts w:ascii="Arial" w:cs="Arial" w:eastAsia="Arial" w:hAnsi="Arial"/>
          <w:sz w:val="17"/>
          <w:szCs w:val="17"/>
          <w:color w:val="auto"/>
        </w:rPr>
        <w:t>”), pursuant to that certain Credit and Security Agreement dated as of ____________, 201__ among the Borrower Representative,</w:t>
      </w:r>
      <w:r>
        <w:rPr>
          <w:sz w:val="20"/>
          <w:szCs w:val="20"/>
          <w:color w:val="auto"/>
        </w:rPr>
        <w:tab/>
      </w:r>
      <w:r>
        <w:rPr>
          <w:rFonts w:ascii="Arial" w:cs="Arial" w:eastAsia="Arial" w:hAnsi="Arial"/>
          <w:sz w:val="15"/>
          <w:szCs w:val="15"/>
          <w:color w:val="auto"/>
        </w:rPr>
        <w:t>and</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additional 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9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Pursuant to the provisions of Section 2.8(c)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31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[NAME OF PARTICIPANT]</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u w:val="single" w:color="auto"/>
          <w:color w:val="auto"/>
        </w:rPr>
        <w:t>By:</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6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Exhibit F-3 to Credit Agreement (Form of U.S. Tax Compliance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U.S. Tax Compliance Certificate is given by _____________________, a Responsible Officer of ________________ (the “</w:t>
      </w:r>
      <w:r>
        <w:rPr>
          <w:rFonts w:ascii="Arial" w:cs="Arial" w:eastAsia="Arial" w:hAnsi="Arial"/>
          <w:sz w:val="16"/>
          <w:szCs w:val="16"/>
          <w:b w:val="1"/>
          <w:bCs w:val="1"/>
          <w:color w:val="auto"/>
        </w:rPr>
        <w:t>Borrower</w:t>
      </w:r>
    </w:p>
    <w:p>
      <w:pPr>
        <w:spacing w:after="0" w:line="50" w:lineRule="exact"/>
        <w:rPr>
          <w:sz w:val="20"/>
          <w:szCs w:val="20"/>
          <w:color w:val="auto"/>
        </w:rPr>
      </w:pPr>
    </w:p>
    <w:p>
      <w:pPr>
        <w:spacing w:after="0"/>
        <w:tabs>
          <w:tab w:leader="none" w:pos="11140" w:val="left"/>
        </w:tabs>
        <w:rPr>
          <w:sz w:val="20"/>
          <w:szCs w:val="20"/>
          <w:color w:val="auto"/>
        </w:rPr>
      </w:pPr>
      <w:r>
        <w:rPr>
          <w:rFonts w:ascii="Arial" w:cs="Arial" w:eastAsia="Arial" w:hAnsi="Arial"/>
          <w:sz w:val="17"/>
          <w:szCs w:val="17"/>
          <w:b w:val="1"/>
          <w:bCs w:val="1"/>
          <w:color w:val="auto"/>
        </w:rPr>
        <w:t>Representative</w:t>
      </w:r>
      <w:r>
        <w:rPr>
          <w:rFonts w:ascii="Arial" w:cs="Arial" w:eastAsia="Arial" w:hAnsi="Arial"/>
          <w:sz w:val="17"/>
          <w:szCs w:val="17"/>
          <w:color w:val="auto"/>
        </w:rPr>
        <w:t>”), pursuant to that certain Credit and Security Agreement dated as of ____________, 201__ among the Borrower Representative,</w:t>
      </w:r>
      <w:r>
        <w:rPr>
          <w:sz w:val="20"/>
          <w:szCs w:val="20"/>
          <w:color w:val="auto"/>
        </w:rPr>
        <w:tab/>
      </w:r>
      <w:r>
        <w:rPr>
          <w:rFonts w:ascii="Arial" w:cs="Arial" w:eastAsia="Arial" w:hAnsi="Arial"/>
          <w:sz w:val="15"/>
          <w:szCs w:val="15"/>
          <w:color w:val="auto"/>
        </w:rPr>
        <w:t>and</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additional 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90"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Pursuant to the provisions of Section 2.8(c)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[NAME OF PARTICIPANT]</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u w:val="single" w:color="auto"/>
          <w:color w:val="auto"/>
        </w:rPr>
        <w:t>By:</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F-4 to Credit Agreement (Form of U.S. Tax Compliance Certificate)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TAX COMPLIANCE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U.S. Tax Compliance Certificate is given by _____________________, a Responsible Officer of ________________ (the “</w:t>
      </w:r>
      <w:r>
        <w:rPr>
          <w:rFonts w:ascii="Arial" w:cs="Arial" w:eastAsia="Arial" w:hAnsi="Arial"/>
          <w:sz w:val="16"/>
          <w:szCs w:val="16"/>
          <w:b w:val="1"/>
          <w:bCs w:val="1"/>
          <w:color w:val="auto"/>
        </w:rPr>
        <w:t>Borrower</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Representative</w:t>
      </w:r>
      <w:r>
        <w:rPr>
          <w:rFonts w:ascii="Arial" w:cs="Arial" w:eastAsia="Arial" w:hAnsi="Arial"/>
          <w:sz w:val="18"/>
          <w:szCs w:val="18"/>
          <w:color w:val="auto"/>
        </w:rPr>
        <w:t>”), pursuant to that certain Credit and Security Agreement dated as of ____________, 201__ among the Borrower Representative,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additional</w:t>
      </w:r>
    </w:p>
    <w:p>
      <w:pPr>
        <w:sectPr>
          <w:pgSz w:w="11900" w:h="16838" w:orient="portrait"/>
          <w:cols w:equalWidth="0" w:num="1">
            <w:col w:w="11420"/>
          </w:cols>
          <w:pgMar w:left="240" w:top="621" w:right="239" w:bottom="1440" w:gutter="0" w:footer="0" w:header="0"/>
        </w:sectPr>
      </w:pPr>
    </w:p>
    <w:bookmarkStart w:id="106" w:name="page107"/>
    <w:bookmarkEnd w:id="106"/>
    <w:p>
      <w:pPr>
        <w:jc w:val="both"/>
        <w:spacing w:after="0" w:line="261" w:lineRule="auto"/>
        <w:rPr>
          <w:sz w:val="20"/>
          <w:szCs w:val="20"/>
          <w:color w:val="auto"/>
        </w:rPr>
      </w:pPr>
      <w:r>
        <w:rPr>
          <w:rFonts w:ascii="Arial" w:cs="Arial" w:eastAsia="Arial" w:hAnsi="Arial"/>
          <w:sz w:val="18"/>
          <w:szCs w:val="18"/>
          <w:color w:val="auto"/>
        </w:rPr>
        <w:t>Borrower that may hereafter be added thereto (collectively, “</w:t>
      </w:r>
      <w:r>
        <w:rPr>
          <w:rFonts w:ascii="Arial" w:cs="Arial" w:eastAsia="Arial" w:hAnsi="Arial"/>
          <w:sz w:val="18"/>
          <w:szCs w:val="18"/>
          <w:b w:val="1"/>
          <w:bCs w:val="1"/>
          <w:color w:val="auto"/>
        </w:rPr>
        <w:t>Borrowers</w:t>
      </w:r>
      <w:r>
        <w:rPr>
          <w:rFonts w:ascii="Arial" w:cs="Arial" w:eastAsia="Arial" w:hAnsi="Arial"/>
          <w:sz w:val="18"/>
          <w:szCs w:val="18"/>
          <w:color w:val="auto"/>
        </w:rPr>
        <w:t>”), MidCap Financial Trust, individually as a Lender and as Agent, and the financial institutions or other entities from time to time parties hereto, each as a Lender (as such agreement may have been amended, restated, supplemented or otherwise modified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Capitalized terms used herein without definition shall have the meanings set forth in the Credit Agreement.</w:t>
      </w:r>
    </w:p>
    <w:p>
      <w:pPr>
        <w:spacing w:after="0" w:line="18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the provisions of Section 2.8(c)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Financing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6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has furnished the Agent and the Borrower Representative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Agent, and (2) the undersigned shall have at all times furnished the Borrower Representative and the Agent with a properly completed and currently effective certificate in either the calendar year in which each payment is to be made to the undersigned, or in either of the two calendar years preceding such payments.</w:t>
      </w:r>
    </w:p>
    <w:p>
      <w:pPr>
        <w:spacing w:after="0" w:line="351"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[NAME OF LENDER]</w:t>
      </w:r>
    </w:p>
    <w:p>
      <w:pPr>
        <w:spacing w:after="0" w:line="6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By: _______________________</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Name: ________________________</w:t>
      </w:r>
    </w:p>
    <w:p>
      <w:pPr>
        <w:spacing w:after="0" w:line="6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Title: ________________________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420"/>
          </w:cols>
          <w:pgMar w:left="240" w:top="621"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PLEDGE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THIS PLEDGE AGREEMENT </w:t>
      </w:r>
      <w:r>
        <w:rPr>
          <w:rFonts w:ascii="Arial" w:cs="Arial" w:eastAsia="Arial" w:hAnsi="Arial"/>
          <w:sz w:val="19"/>
          <w:szCs w:val="19"/>
          <w:color w:val="auto"/>
        </w:rPr>
        <w:t>(this “</w:t>
      </w:r>
      <w:r>
        <w:rPr>
          <w:rFonts w:ascii="Arial" w:cs="Arial" w:eastAsia="Arial" w:hAnsi="Arial"/>
          <w:sz w:val="19"/>
          <w:szCs w:val="19"/>
          <w:b w:val="1"/>
          <w:bCs w:val="1"/>
          <w:color w:val="auto"/>
        </w:rPr>
        <w:t>Agreement</w:t>
      </w:r>
      <w:r>
        <w:rPr>
          <w:rFonts w:ascii="Arial" w:cs="Arial" w:eastAsia="Arial" w:hAnsi="Arial"/>
          <w:sz w:val="19"/>
          <w:szCs w:val="19"/>
          <w:color w:val="auto"/>
        </w:rPr>
        <w:t>”) is made as of May 5, 2017 by and among</w:t>
      </w:r>
      <w:r>
        <w:rPr>
          <w:rFonts w:ascii="Arial" w:cs="Arial" w:eastAsia="Arial" w:hAnsi="Arial"/>
          <w:sz w:val="19"/>
          <w:szCs w:val="19"/>
          <w:b w:val="1"/>
          <w:bCs w:val="1"/>
          <w:color w:val="auto"/>
        </w:rPr>
        <w:t xml:space="preserve"> PTC THERAPEUTICS, INC.</w:t>
      </w:r>
      <w:r>
        <w:rPr>
          <w:rFonts w:ascii="Arial" w:cs="Arial" w:eastAsia="Arial" w:hAnsi="Arial"/>
          <w:sz w:val="19"/>
          <w:szCs w:val="19"/>
          <w:color w:val="auto"/>
        </w:rPr>
        <w:t>, a</w:t>
      </w:r>
    </w:p>
    <w:p>
      <w:pPr>
        <w:spacing w:after="0" w:line="39"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Delaware corporation </w:t>
      </w:r>
      <w:r>
        <w:rPr>
          <w:rFonts w:ascii="Arial" w:cs="Arial" w:eastAsia="Arial" w:hAnsi="Arial"/>
          <w:sz w:val="21"/>
          <w:szCs w:val="21"/>
          <w:color w:val="auto"/>
        </w:rPr>
        <w:t>and each of its direct and indirect subsidiaries set forth on the signature pages hereto as a pledgor</w:t>
      </w:r>
      <w:r>
        <w:rPr>
          <w:rFonts w:ascii="Arial" w:cs="Arial" w:eastAsia="Arial" w:hAnsi="Arial"/>
          <w:sz w:val="20"/>
          <w:szCs w:val="20"/>
          <w:color w:val="auto"/>
        </w:rPr>
        <w:t xml:space="preserve"> (each a “</w:t>
      </w:r>
      <w:r>
        <w:rPr>
          <w:rFonts w:ascii="Arial" w:cs="Arial" w:eastAsia="Arial" w:hAnsi="Arial"/>
          <w:sz w:val="20"/>
          <w:szCs w:val="20"/>
          <w:b w:val="1"/>
          <w:bCs w:val="1"/>
          <w:color w:val="auto"/>
        </w:rPr>
        <w:t>Pledgor</w:t>
      </w:r>
      <w:r>
        <w:rPr>
          <w:rFonts w:ascii="Arial" w:cs="Arial" w:eastAsia="Arial" w:hAnsi="Arial"/>
          <w:sz w:val="20"/>
          <w:szCs w:val="20"/>
          <w:color w:val="auto"/>
        </w:rPr>
        <w:t>”, and collectively, “</w:t>
      </w:r>
      <w:r>
        <w:rPr>
          <w:rFonts w:ascii="Arial" w:cs="Arial" w:eastAsia="Arial" w:hAnsi="Arial"/>
          <w:sz w:val="20"/>
          <w:szCs w:val="20"/>
          <w:b w:val="1"/>
          <w:bCs w:val="1"/>
          <w:color w:val="auto"/>
        </w:rPr>
        <w:t>Pledgors</w:t>
      </w:r>
      <w:r>
        <w:rPr>
          <w:rFonts w:ascii="Arial" w:cs="Arial" w:eastAsia="Arial" w:hAnsi="Arial"/>
          <w:sz w:val="20"/>
          <w:szCs w:val="20"/>
          <w:color w:val="auto"/>
        </w:rPr>
        <w:t xml:space="preserve">”), and </w:t>
      </w:r>
      <w:r>
        <w:rPr>
          <w:rFonts w:ascii="Arial" w:cs="Arial" w:eastAsia="Arial" w:hAnsi="Arial"/>
          <w:sz w:val="20"/>
          <w:szCs w:val="20"/>
          <w:b w:val="1"/>
          <w:bCs w:val="1"/>
          <w:color w:val="auto"/>
        </w:rPr>
        <w:t>MIDCAP FINANCIAL TRUST</w:t>
      </w:r>
      <w:r>
        <w:rPr>
          <w:rFonts w:ascii="Arial" w:cs="Arial" w:eastAsia="Arial" w:hAnsi="Arial"/>
          <w:sz w:val="20"/>
          <w:szCs w:val="20"/>
          <w:color w:val="auto"/>
        </w:rPr>
        <w:t>, as administrative agent (in such capacity, together with its successors and assigns, “</w:t>
      </w:r>
      <w:r>
        <w:rPr>
          <w:rFonts w:ascii="Arial" w:cs="Arial" w:eastAsia="Arial" w:hAnsi="Arial"/>
          <w:sz w:val="20"/>
          <w:szCs w:val="20"/>
          <w:b w:val="1"/>
          <w:bCs w:val="1"/>
          <w:color w:val="auto"/>
        </w:rPr>
        <w:t>Agent</w:t>
      </w:r>
      <w:r>
        <w:rPr>
          <w:rFonts w:ascii="Arial" w:cs="Arial" w:eastAsia="Arial" w:hAnsi="Arial"/>
          <w:sz w:val="20"/>
          <w:szCs w:val="20"/>
          <w:color w:val="auto"/>
        </w:rPr>
        <w:t>”) for itself and the other Lenders (as defined herein).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firstLine="656"/>
        <w:spacing w:after="0" w:line="242" w:lineRule="auto"/>
        <w:tabs>
          <w:tab w:leader="none" w:pos="1135"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Pursuant to that certain Credit and Security Agreement, dated as of even date herewith among the Pledgors, the other Credit Parties party thereto, the financial institutions from time to time parties thereto, as lenders (collectively, the “</w:t>
      </w:r>
      <w:r>
        <w:rPr>
          <w:rFonts w:ascii="Arial" w:cs="Arial" w:eastAsia="Arial" w:hAnsi="Arial"/>
          <w:sz w:val="20"/>
          <w:szCs w:val="20"/>
          <w:b w:val="1"/>
          <w:bCs w:val="1"/>
          <w:color w:val="auto"/>
        </w:rPr>
        <w:t>Lenders</w:t>
      </w:r>
      <w:r>
        <w:rPr>
          <w:rFonts w:ascii="Arial" w:cs="Arial" w:eastAsia="Arial" w:hAnsi="Arial"/>
          <w:sz w:val="20"/>
          <w:szCs w:val="20"/>
          <w:color w:val="auto"/>
        </w:rPr>
        <w:t>”), and Agent (as the same may be amended, supplemented, modified, increased, renewed or restated from time to time, the “</w:t>
      </w:r>
      <w:r>
        <w:rPr>
          <w:rFonts w:ascii="Arial" w:cs="Arial" w:eastAsia="Arial" w:hAnsi="Arial"/>
          <w:sz w:val="20"/>
          <w:szCs w:val="20"/>
          <w:b w:val="1"/>
          <w:bCs w:val="1"/>
          <w:color w:val="auto"/>
        </w:rPr>
        <w:t>Credit Agreement</w:t>
      </w:r>
      <w:r>
        <w:rPr>
          <w:rFonts w:ascii="Arial" w:cs="Arial" w:eastAsia="Arial" w:hAnsi="Arial"/>
          <w:sz w:val="20"/>
          <w:szCs w:val="20"/>
          <w:color w:val="auto"/>
        </w:rPr>
        <w:t>”), Agent and Lenders have agreed to make available to Borrowers a term loan facility on the terms and conditions set forth therein, and each Credit Party, including Pledgors, has granted a security interest in all of its assets to Agent to secure the Obligations. Borrowers have executed and delivered one or more promissory notes evidencing the indebtedness incurred by Borrowers under the Credit Agreement (as the same may be amended, modified, increased, renewed or restated from time to time, and together with all renewal notes issued in respect thereof, collectively the “</w:t>
      </w:r>
      <w:r>
        <w:rPr>
          <w:rFonts w:ascii="Arial" w:cs="Arial" w:eastAsia="Arial" w:hAnsi="Arial"/>
          <w:sz w:val="20"/>
          <w:szCs w:val="20"/>
          <w:b w:val="1"/>
          <w:bCs w:val="1"/>
          <w:color w:val="auto"/>
        </w:rPr>
        <w:t>Notes</w:t>
      </w:r>
      <w:r>
        <w:rPr>
          <w:rFonts w:ascii="Arial" w:cs="Arial" w:eastAsia="Arial" w:hAnsi="Arial"/>
          <w:sz w:val="20"/>
          <w:szCs w:val="20"/>
          <w:color w:val="auto"/>
        </w:rPr>
        <w:t>”).</w:t>
      </w:r>
    </w:p>
    <w:p>
      <w:pPr>
        <w:spacing w:after="0" w:line="197" w:lineRule="exact"/>
        <w:rPr>
          <w:rFonts w:ascii="Arial" w:cs="Arial" w:eastAsia="Arial" w:hAnsi="Arial"/>
          <w:sz w:val="20"/>
          <w:szCs w:val="20"/>
          <w:b w:val="1"/>
          <w:bCs w:val="1"/>
          <w:color w:val="auto"/>
        </w:rPr>
      </w:pPr>
    </w:p>
    <w:p>
      <w:pPr>
        <w:jc w:val="both"/>
        <w:ind w:firstLine="656"/>
        <w:spacing w:after="0" w:line="246" w:lineRule="auto"/>
        <w:tabs>
          <w:tab w:leader="none" w:pos="1119"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To induce Agent and Lenders to enter into the Credit Agreement and to induce Lenders to extend to Borrowers the financial accommodations set forth in the Credit Agreement, the Pledgors have agreed to enter into this Agreement. Each Pledgor acknowledges that without this Agreement, Lenders would be unwilling to make the Term Loan and other financial accommodations provided for in the Credit Agreement.</w:t>
      </w:r>
    </w:p>
    <w:p>
      <w:pPr>
        <w:spacing w:after="0" w:line="191" w:lineRule="exact"/>
        <w:rPr>
          <w:rFonts w:ascii="Arial" w:cs="Arial" w:eastAsia="Arial" w:hAnsi="Arial"/>
          <w:sz w:val="20"/>
          <w:szCs w:val="20"/>
          <w:b w:val="1"/>
          <w:bCs w:val="1"/>
          <w:color w:val="auto"/>
        </w:rPr>
      </w:pPr>
    </w:p>
    <w:p>
      <w:pPr>
        <w:ind w:firstLine="656"/>
        <w:spacing w:after="0" w:line="287" w:lineRule="auto"/>
        <w:tabs>
          <w:tab w:leader="none" w:pos="1055" w:val="left"/>
        </w:tabs>
        <w:numPr>
          <w:ilvl w:val="0"/>
          <w:numId w:val="131"/>
        </w:numPr>
        <w:rPr>
          <w:rFonts w:ascii="Arial" w:cs="Arial" w:eastAsia="Arial" w:hAnsi="Arial"/>
          <w:sz w:val="19"/>
          <w:szCs w:val="19"/>
          <w:b w:val="1"/>
          <w:bCs w:val="1"/>
          <w:color w:val="auto"/>
        </w:rPr>
      </w:pPr>
      <w:r>
        <w:rPr>
          <w:rFonts w:ascii="Arial" w:cs="Arial" w:eastAsia="Arial" w:hAnsi="Arial"/>
          <w:sz w:val="19"/>
          <w:szCs w:val="19"/>
          <w:color w:val="auto"/>
        </w:rPr>
        <w:t>The terms and provisions of the Credit Agreement and Notes are hereby incorporated by reference in this Agreement. Capitalized terms used in this Agreement but not defined herein shall have the meanings ascribed to them in the Credit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to induce Agent and the Lenders to enter into the Credit Agreement and to make the Loan , and for other good</w:t>
      </w:r>
      <w:r>
        <w:rPr>
          <w:rFonts w:ascii="Arial" w:cs="Arial" w:eastAsia="Arial" w:hAnsi="Arial"/>
          <w:sz w:val="20"/>
          <w:szCs w:val="20"/>
          <w:b w:val="1"/>
          <w:bCs w:val="1"/>
          <w:color w:val="auto"/>
        </w:rPr>
        <w:t xml:space="preserve"> </w:t>
      </w:r>
      <w:r>
        <w:rPr>
          <w:rFonts w:ascii="Arial" w:cs="Arial" w:eastAsia="Arial" w:hAnsi="Arial"/>
          <w:sz w:val="20"/>
          <w:szCs w:val="20"/>
          <w:color w:val="auto"/>
        </w:rPr>
        <w:t>and valuable consideration, the receipt and sufficiency of which are hereby acknowledged, Pledgors and Agent hereby incorporate by this reference the foregoing Recitals and hereby covenant and agree as follows:</w:t>
      </w:r>
    </w:p>
    <w:p>
      <w:pPr>
        <w:spacing w:after="0" w:line="197" w:lineRule="exact"/>
        <w:rPr>
          <w:sz w:val="20"/>
          <w:szCs w:val="20"/>
          <w:color w:val="auto"/>
        </w:rPr>
      </w:pPr>
    </w:p>
    <w:p>
      <w:pPr>
        <w:ind w:left="1460" w:hanging="804"/>
        <w:spacing w:after="0"/>
        <w:tabs>
          <w:tab w:leader="none" w:pos="1460" w:val="left"/>
        </w:tabs>
        <w:numPr>
          <w:ilvl w:val="0"/>
          <w:numId w:val="132"/>
        </w:numPr>
        <w:rPr>
          <w:rFonts w:ascii="Arial" w:cs="Arial" w:eastAsia="Arial" w:hAnsi="Arial"/>
          <w:sz w:val="20"/>
          <w:szCs w:val="20"/>
          <w:b w:val="1"/>
          <w:bCs w:val="1"/>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As used above and elsewhere in this Agreement, the following terms shall have the following meanings:</w:t>
      </w:r>
    </w:p>
    <w:p>
      <w:pPr>
        <w:spacing w:after="0" w:line="237" w:lineRule="exact"/>
        <w:rPr>
          <w:sz w:val="20"/>
          <w:szCs w:val="20"/>
          <w:color w:val="auto"/>
        </w:rPr>
      </w:pPr>
    </w:p>
    <w:p>
      <w:pPr>
        <w:ind w:right="20" w:firstLine="1305"/>
        <w:spacing w:after="0" w:line="271" w:lineRule="auto"/>
        <w:tabs>
          <w:tab w:leader="none" w:pos="1743" w:val="left"/>
        </w:tabs>
        <w:numPr>
          <w:ilvl w:val="0"/>
          <w:numId w:val="13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w:t>
      </w:r>
      <w:r>
        <w:rPr>
          <w:rFonts w:ascii="Arial" w:cs="Arial" w:eastAsia="Arial" w:hAnsi="Arial"/>
          <w:sz w:val="20"/>
          <w:szCs w:val="20"/>
          <w:color w:val="auto"/>
        </w:rPr>
        <w:t xml:space="preserve">” shall mean and include each corporation, limited liability company, partnership and other organization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and every other issuer, if any, of Pledged Collateral hereafter.</w:t>
      </w:r>
    </w:p>
    <w:p>
      <w:pPr>
        <w:spacing w:after="0" w:line="197" w:lineRule="exact"/>
        <w:rPr>
          <w:rFonts w:ascii="Arial" w:cs="Arial" w:eastAsia="Arial" w:hAnsi="Arial"/>
          <w:sz w:val="22"/>
          <w:szCs w:val="22"/>
          <w:color w:val="auto"/>
        </w:rPr>
      </w:pPr>
    </w:p>
    <w:p>
      <w:pPr>
        <w:jc w:val="both"/>
        <w:ind w:firstLine="1305"/>
        <w:spacing w:after="0" w:line="268" w:lineRule="auto"/>
        <w:tabs>
          <w:tab w:leader="none" w:pos="1756" w:val="left"/>
        </w:tabs>
        <w:numPr>
          <w:ilvl w:val="0"/>
          <w:numId w:val="133"/>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Equity Interests</w:t>
      </w:r>
      <w:r>
        <w:rPr>
          <w:rFonts w:ascii="Arial" w:cs="Arial" w:eastAsia="Arial" w:hAnsi="Arial"/>
          <w:sz w:val="20"/>
          <w:szCs w:val="20"/>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w:t>
      </w:r>
    </w:p>
    <w:p>
      <w:pPr>
        <w:sectPr>
          <w:pgSz w:w="11900" w:h="16838" w:orient="portrait"/>
          <w:cols w:equalWidth="0" w:num="1">
            <w:col w:w="11420"/>
          </w:cols>
          <w:pgMar w:left="240" w:top="126" w:right="239" w:bottom="1440" w:gutter="0" w:footer="0" w:header="0"/>
        </w:sectPr>
      </w:pPr>
    </w:p>
    <w:bookmarkStart w:id="108" w:name="page109"/>
    <w:bookmarkEnd w:id="108"/>
    <w:p>
      <w:pPr>
        <w:spacing w:after="0" w:line="260" w:lineRule="auto"/>
        <w:rPr>
          <w:sz w:val="20"/>
          <w:szCs w:val="20"/>
          <w:color w:val="auto"/>
        </w:rPr>
      </w:pPr>
      <w:r>
        <w:rPr>
          <w:rFonts w:ascii="Arial" w:cs="Arial" w:eastAsia="Arial" w:hAnsi="Arial"/>
          <w:sz w:val="20"/>
          <w:szCs w:val="20"/>
          <w:color w:val="auto"/>
        </w:rPr>
        <w:t>stock, or any other “equity security” (as such term is defined in Rule 3a11-1 of the General Rules and Regulations promulgated by the SEC under the Exchange Act).</w:t>
      </w:r>
    </w:p>
    <w:p>
      <w:pPr>
        <w:spacing w:after="0" w:line="198" w:lineRule="exact"/>
        <w:rPr>
          <w:sz w:val="20"/>
          <w:szCs w:val="20"/>
          <w:color w:val="auto"/>
        </w:rPr>
      </w:pPr>
    </w:p>
    <w:p>
      <w:pPr>
        <w:ind w:left="1720" w:hanging="415"/>
        <w:spacing w:after="0"/>
        <w:tabs>
          <w:tab w:leader="none" w:pos="1720" w:val="left"/>
        </w:tabs>
        <w:numPr>
          <w:ilvl w:val="0"/>
          <w:numId w:val="134"/>
        </w:numPr>
        <w:rPr>
          <w:rFonts w:ascii="Arial" w:cs="Arial" w:eastAsia="Arial" w:hAnsi="Arial"/>
          <w:sz w:val="22"/>
          <w:szCs w:val="22"/>
          <w:color w:val="auto"/>
        </w:rPr>
      </w:pPr>
      <w:r>
        <w:rPr>
          <w:rFonts w:ascii="Arial" w:cs="Arial" w:eastAsia="Arial" w:hAnsi="Arial"/>
          <w:sz w:val="20"/>
          <w:szCs w:val="20"/>
          <w:color w:val="auto"/>
        </w:rPr>
        <w:t>“</w:t>
      </w:r>
      <w:r>
        <w:rPr>
          <w:rFonts w:ascii="Arial" w:cs="Arial" w:eastAsia="Arial" w:hAnsi="Arial"/>
          <w:sz w:val="20"/>
          <w:szCs w:val="20"/>
          <w:b w:val="1"/>
          <w:bCs w:val="1"/>
          <w:color w:val="auto"/>
        </w:rPr>
        <w:t>Pledged Collateral</w:t>
      </w:r>
      <w:r>
        <w:rPr>
          <w:rFonts w:ascii="Arial" w:cs="Arial" w:eastAsia="Arial" w:hAnsi="Arial"/>
          <w:sz w:val="20"/>
          <w:szCs w:val="20"/>
          <w:color w:val="auto"/>
        </w:rPr>
        <w:t>” shall mean and include all Pledged Stock and Pledged Interests.</w:t>
      </w:r>
    </w:p>
    <w:p>
      <w:pPr>
        <w:spacing w:after="0" w:line="233" w:lineRule="exact"/>
        <w:rPr>
          <w:rFonts w:ascii="Arial" w:cs="Arial" w:eastAsia="Arial" w:hAnsi="Arial"/>
          <w:sz w:val="22"/>
          <w:szCs w:val="22"/>
          <w:color w:val="auto"/>
        </w:rPr>
      </w:pPr>
    </w:p>
    <w:p>
      <w:pPr>
        <w:jc w:val="both"/>
        <w:ind w:firstLine="1305"/>
        <w:spacing w:after="0" w:line="303" w:lineRule="auto"/>
        <w:tabs>
          <w:tab w:leader="none" w:pos="1796" w:val="left"/>
        </w:tabs>
        <w:numPr>
          <w:ilvl w:val="0"/>
          <w:numId w:val="134"/>
        </w:numPr>
        <w:rPr>
          <w:rFonts w:ascii="Arial" w:cs="Arial" w:eastAsia="Arial" w:hAnsi="Arial"/>
          <w:sz w:val="19"/>
          <w:szCs w:val="19"/>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Interests</w:t>
      </w:r>
      <w:r>
        <w:rPr>
          <w:rFonts w:ascii="Arial" w:cs="Arial" w:eastAsia="Arial" w:hAnsi="Arial"/>
          <w:sz w:val="18"/>
          <w:szCs w:val="18"/>
          <w:color w:val="auto"/>
        </w:rPr>
        <w:t xml:space="preserve">” shall mean and include, with respect to each Pledgor, all Equity Interests owned by such Pledgor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under the heading “Pledged Interests” (as such schedule may be amended or supplemented from time to time) and the certificates, if any, representing such interests and any interest owned by such Pledgor on the books and records of such limited liability company, partnership or other organization or on the books and records of any securities intermediary pertaining to such interests and all dividends, distributions, cash, warrants, rights, options, instruments, securities and other property or proceeds at any time and from time to time received, receivable or otherwise distributed in respect of or in exchange for any or all of such interests. Notwithstanding the foregoing or any other provision herein to the contrary, the Pledged Interests shall not include any interests expressly excluded under Section 9.1 of the Credit Agreement and no Excluded Property (as defined in the Credit Agreement) shall constitute “Pledged Interests”.</w:t>
      </w:r>
    </w:p>
    <w:p>
      <w:pPr>
        <w:spacing w:after="0" w:line="164" w:lineRule="exact"/>
        <w:rPr>
          <w:sz w:val="20"/>
          <w:szCs w:val="20"/>
          <w:color w:val="auto"/>
        </w:rPr>
      </w:pPr>
    </w:p>
    <w:p>
      <w:pPr>
        <w:jc w:val="both"/>
        <w:ind w:firstLine="1305"/>
        <w:spacing w:after="0" w:line="287" w:lineRule="auto"/>
        <w:tabs>
          <w:tab w:leader="none" w:pos="1723" w:val="left"/>
        </w:tabs>
        <w:numPr>
          <w:ilvl w:val="1"/>
          <w:numId w:val="13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Pledged Stock</w:t>
      </w:r>
      <w:r>
        <w:rPr>
          <w:rFonts w:ascii="Arial" w:cs="Arial" w:eastAsia="Arial" w:hAnsi="Arial"/>
          <w:sz w:val="19"/>
          <w:szCs w:val="19"/>
          <w:color w:val="auto"/>
        </w:rPr>
        <w:t xml:space="preserve">” shall mean and include, with respect to each Pledgor, all Equity Interests owned by such Pledgor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under the heading “Pledged Stock” (as such schedule may be amended or supplemented from time to time) and the certificates, if any, representing such shares and any interest owned by such Pledgor in the entries on the books of the Issuer of such shares or on the books of any securities intermediary pertaining to such shares, and all dividends, distributions, cash, warrants, rights, options, instruments, securities and other property or proceeds at any time and from time to time received, receivable or otherwise distributed in respect of or in exchange for any or all of such shares. Notwithstanding the foregoing or any other provision herein to the contrary, the Pledged Stock shall not include any interests expressly excluded under Section 9.1 of the Credit Agreement and no Excluded Property (as defined in the Credit Agreement) shall constitute “Pledged Stock”.</w:t>
      </w:r>
    </w:p>
    <w:p>
      <w:pPr>
        <w:spacing w:after="0" w:line="198" w:lineRule="exact"/>
        <w:rPr>
          <w:rFonts w:ascii="Arial" w:cs="Arial" w:eastAsia="Arial" w:hAnsi="Arial"/>
          <w:sz w:val="19"/>
          <w:szCs w:val="19"/>
          <w:color w:val="auto"/>
        </w:rPr>
      </w:pPr>
    </w:p>
    <w:p>
      <w:pPr>
        <w:jc w:val="both"/>
        <w:ind w:firstLine="656"/>
        <w:spacing w:after="0" w:line="313" w:lineRule="auto"/>
        <w:tabs>
          <w:tab w:leader="none" w:pos="1017" w:val="left"/>
        </w:tabs>
        <w:numPr>
          <w:ilvl w:val="0"/>
          <w:numId w:val="136"/>
        </w:numPr>
        <w:rPr>
          <w:rFonts w:ascii="Arial" w:cs="Arial" w:eastAsia="Arial" w:hAnsi="Arial"/>
          <w:sz w:val="19"/>
          <w:szCs w:val="19"/>
          <w:b w:val="1"/>
          <w:bCs w:val="1"/>
          <w:color w:val="auto"/>
        </w:rPr>
      </w:pPr>
      <w:r>
        <w:rPr>
          <w:rFonts w:ascii="Arial" w:cs="Arial" w:eastAsia="Arial" w:hAnsi="Arial"/>
          <w:sz w:val="18"/>
          <w:szCs w:val="18"/>
          <w:u w:val="single" w:color="auto"/>
          <w:color w:val="auto"/>
        </w:rPr>
        <w:t>Grant of Assignment and Security Interest</w:t>
      </w:r>
      <w:r>
        <w:rPr>
          <w:rFonts w:ascii="Arial" w:cs="Arial" w:eastAsia="Arial" w:hAnsi="Arial"/>
          <w:sz w:val="18"/>
          <w:szCs w:val="18"/>
          <w:color w:val="auto"/>
        </w:rPr>
        <w:t>. Each Pledgor hereby pledges, assigns and grants to Agent, for the benefit of itself and the Lenders, as security for the Obligations, a continuing security interest in, and pledges to Agent, for the ratable benefit of the Lenders, the Pledged Collateral, wherever located, whether now owned or hereafter acquired or arising, and all proceeds and products thereof.</w:t>
      </w:r>
    </w:p>
    <w:p>
      <w:pPr>
        <w:spacing w:after="0" w:line="174" w:lineRule="exact"/>
        <w:rPr>
          <w:rFonts w:ascii="Arial" w:cs="Arial" w:eastAsia="Arial" w:hAnsi="Arial"/>
          <w:sz w:val="19"/>
          <w:szCs w:val="19"/>
          <w:b w:val="1"/>
          <w:bCs w:val="1"/>
          <w:color w:val="auto"/>
        </w:rPr>
      </w:pPr>
    </w:p>
    <w:p>
      <w:pPr>
        <w:jc w:val="both"/>
        <w:ind w:firstLine="656"/>
        <w:spacing w:after="0" w:line="266" w:lineRule="auto"/>
        <w:tabs>
          <w:tab w:leader="none" w:pos="1058" w:val="left"/>
        </w:tabs>
        <w:numPr>
          <w:ilvl w:val="0"/>
          <w:numId w:val="136"/>
        </w:numPr>
        <w:rPr>
          <w:rFonts w:ascii="Arial" w:cs="Arial" w:eastAsia="Arial" w:hAnsi="Arial"/>
          <w:sz w:val="22"/>
          <w:szCs w:val="22"/>
          <w:b w:val="1"/>
          <w:bCs w:val="1"/>
          <w:color w:val="auto"/>
        </w:rPr>
      </w:pPr>
      <w:r>
        <w:rPr>
          <w:rFonts w:ascii="Arial" w:cs="Arial" w:eastAsia="Arial" w:hAnsi="Arial"/>
          <w:sz w:val="20"/>
          <w:szCs w:val="20"/>
          <w:u w:val="single" w:color="auto"/>
          <w:color w:val="auto"/>
        </w:rPr>
        <w:t>Registration of Pledge in Books of Issuer; Application of Proceeds</w:t>
      </w:r>
      <w:r>
        <w:rPr>
          <w:rFonts w:ascii="Arial" w:cs="Arial" w:eastAsia="Arial" w:hAnsi="Arial"/>
          <w:sz w:val="20"/>
          <w:szCs w:val="20"/>
          <w:color w:val="auto"/>
        </w:rPr>
        <w:t>. Each Pledgor hereby authorizes and directs each Issuer, as applicable, to register such Pledgor’s pledge to Agent, for its benefit and the benefit of the Lenders, of the Pledged Collateral on the books of the applicable Issuer and, following written notice to do so by Agent after the occurrence and during the continuance of an Event of Default under the Credit Agreement, to make direct payment to Agent of any amounts due or to become due to such Pledgor with respect to the Pledged Collateral. Any moneys received by Agent shall be applied to the Obligations in such order and manner of application as Agent may from time to time determine in its sole discretion.</w:t>
      </w:r>
    </w:p>
    <w:p>
      <w:pPr>
        <w:spacing w:after="0" w:line="214" w:lineRule="exact"/>
        <w:rPr>
          <w:rFonts w:ascii="Arial" w:cs="Arial" w:eastAsia="Arial" w:hAnsi="Arial"/>
          <w:sz w:val="22"/>
          <w:szCs w:val="22"/>
          <w:b w:val="1"/>
          <w:bCs w:val="1"/>
          <w:color w:val="auto"/>
        </w:rPr>
      </w:pPr>
    </w:p>
    <w:p>
      <w:pPr>
        <w:jc w:val="both"/>
        <w:ind w:firstLine="656"/>
        <w:spacing w:after="0" w:line="283" w:lineRule="auto"/>
        <w:tabs>
          <w:tab w:leader="none" w:pos="990" w:val="left"/>
        </w:tabs>
        <w:numPr>
          <w:ilvl w:val="0"/>
          <w:numId w:val="136"/>
        </w:numPr>
        <w:rPr>
          <w:rFonts w:ascii="Arial" w:cs="Arial" w:eastAsia="Arial" w:hAnsi="Arial"/>
          <w:sz w:val="21"/>
          <w:szCs w:val="21"/>
          <w:b w:val="1"/>
          <w:bCs w:val="1"/>
          <w:color w:val="auto"/>
        </w:rPr>
      </w:pPr>
      <w:r>
        <w:rPr>
          <w:rFonts w:ascii="Arial" w:cs="Arial" w:eastAsia="Arial" w:hAnsi="Arial"/>
          <w:sz w:val="19"/>
          <w:szCs w:val="19"/>
          <w:u w:val="single" w:color="auto"/>
          <w:color w:val="auto"/>
        </w:rPr>
        <w:t>Rights of Pledgors in the Pledged Collateral</w:t>
      </w:r>
      <w:r>
        <w:rPr>
          <w:rFonts w:ascii="Arial" w:cs="Arial" w:eastAsia="Arial" w:hAnsi="Arial"/>
          <w:sz w:val="19"/>
          <w:szCs w:val="19"/>
          <w:color w:val="auto"/>
        </w:rPr>
        <w:t>. Until any Event of Default occurs, each Pledgor shall be entitled to exercise all voting rights and to receive all dividends and other distributions that may be paid on any of its Pledged Collateral and that are not otherwise prohibited by the Financing Documents. Any cash dividend or distribution payable in respect of the Pledged Collateral that is, in whole or in part, a return of capital or that is made in violation of this Agreement or the Financing Documents shall be received by any such Pledgor in trust for Agent, for its benefit and the benefit of the Lenders, shall be paid immediately</w:t>
      </w:r>
    </w:p>
    <w:p>
      <w:pPr>
        <w:spacing w:after="0" w:line="200" w:lineRule="exact"/>
        <w:rPr>
          <w:sz w:val="20"/>
          <w:szCs w:val="20"/>
          <w:color w:val="auto"/>
        </w:rPr>
      </w:pPr>
    </w:p>
    <w:p>
      <w:pPr>
        <w:spacing w:after="0" w:line="371"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2" w:right="239" w:bottom="1440" w:gutter="0" w:footer="0" w:header="0"/>
        </w:sectPr>
      </w:pPr>
    </w:p>
    <w:bookmarkStart w:id="109" w:name="page110"/>
    <w:bookmarkEnd w:id="109"/>
    <w:p>
      <w:pPr>
        <w:jc w:val="both"/>
        <w:spacing w:after="0" w:line="260" w:lineRule="auto"/>
        <w:rPr>
          <w:sz w:val="20"/>
          <w:szCs w:val="20"/>
          <w:color w:val="auto"/>
        </w:rPr>
      </w:pPr>
      <w:r>
        <w:rPr>
          <w:rFonts w:ascii="Arial" w:cs="Arial" w:eastAsia="Arial" w:hAnsi="Arial"/>
          <w:sz w:val="19"/>
          <w:szCs w:val="19"/>
          <w:color w:val="auto"/>
        </w:rPr>
        <w:t>to Agent and shall be retained by Agent as part of the Pledged Collateral. Upon the occurrence and during the continuation of an Event of Default, Pledgors shall, at the written direction of Agent, immediately send a written notice to each Issuer instructing such Issuer, and shall cause such Issuer, to remit all cash and other distributions payable with respect to the Pledged Collateral (until such time as Agent notifies Pledgors that such Event of Default has ceased to exist) directly to Agent. Nothing contained in this paragraph shall be deemed to permit the payment of any sum or the making of any distribution which is prohibited by any of the Financing Documents, if any.</w:t>
      </w:r>
    </w:p>
    <w:p>
      <w:pPr>
        <w:spacing w:after="0" w:line="205" w:lineRule="exact"/>
        <w:rPr>
          <w:sz w:val="20"/>
          <w:szCs w:val="20"/>
          <w:color w:val="auto"/>
        </w:rPr>
      </w:pPr>
    </w:p>
    <w:p>
      <w:pPr>
        <w:ind w:left="1000" w:hanging="344"/>
        <w:spacing w:after="0"/>
        <w:tabs>
          <w:tab w:leader="none" w:pos="1000" w:val="left"/>
        </w:tabs>
        <w:numPr>
          <w:ilvl w:val="1"/>
          <w:numId w:val="137"/>
        </w:numPr>
        <w:rPr>
          <w:rFonts w:ascii="Arial" w:cs="Arial" w:eastAsia="Arial" w:hAnsi="Arial"/>
          <w:sz w:val="22"/>
          <w:szCs w:val="22"/>
          <w:b w:val="1"/>
          <w:bCs w:val="1"/>
          <w:color w:val="auto"/>
        </w:rPr>
      </w:pPr>
      <w:r>
        <w:rPr>
          <w:rFonts w:ascii="Arial" w:cs="Arial" w:eastAsia="Arial" w:hAnsi="Arial"/>
          <w:sz w:val="20"/>
          <w:szCs w:val="20"/>
          <w:u w:val="single" w:color="auto"/>
          <w:color w:val="auto"/>
        </w:rPr>
        <w:t>Representations and Warranties of Pledgors</w:t>
      </w:r>
      <w:r>
        <w:rPr>
          <w:rFonts w:ascii="Arial" w:cs="Arial" w:eastAsia="Arial" w:hAnsi="Arial"/>
          <w:sz w:val="20"/>
          <w:szCs w:val="20"/>
          <w:color w:val="auto"/>
        </w:rPr>
        <w:t>. Each Pledgor hereby represents and warrants to Agent as follows:</w:t>
      </w:r>
    </w:p>
    <w:p>
      <w:pPr>
        <w:spacing w:after="0" w:line="208" w:lineRule="exact"/>
        <w:rPr>
          <w:rFonts w:ascii="Arial" w:cs="Arial" w:eastAsia="Arial" w:hAnsi="Arial"/>
          <w:sz w:val="22"/>
          <w:szCs w:val="22"/>
          <w:b w:val="1"/>
          <w:bCs w:val="1"/>
          <w:color w:val="auto"/>
        </w:rPr>
      </w:pPr>
    </w:p>
    <w:p>
      <w:pPr>
        <w:ind w:left="1700" w:hanging="395"/>
        <w:spacing w:after="0"/>
        <w:tabs>
          <w:tab w:leader="none" w:pos="1700" w:val="left"/>
        </w:tabs>
        <w:numPr>
          <w:ilvl w:val="2"/>
          <w:numId w:val="137"/>
        </w:numPr>
        <w:rPr>
          <w:rFonts w:ascii="Arial" w:cs="Arial" w:eastAsia="Arial" w:hAnsi="Arial"/>
          <w:sz w:val="16"/>
          <w:szCs w:val="16"/>
          <w:color w:val="auto"/>
        </w:rPr>
      </w:pP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and the list of Pledgor information attached hereto as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are true, correct and complete in all respects;</w:t>
      </w:r>
    </w:p>
    <w:p>
      <w:pPr>
        <w:spacing w:after="0" w:line="261" w:lineRule="exact"/>
        <w:rPr>
          <w:rFonts w:ascii="Arial" w:cs="Arial" w:eastAsia="Arial" w:hAnsi="Arial"/>
          <w:sz w:val="16"/>
          <w:szCs w:val="16"/>
          <w:color w:val="auto"/>
        </w:rPr>
      </w:pPr>
    </w:p>
    <w:p>
      <w:pPr>
        <w:ind w:left="1720" w:hanging="415"/>
        <w:spacing w:after="0"/>
        <w:tabs>
          <w:tab w:leader="none" w:pos="1720" w:val="left"/>
        </w:tabs>
        <w:numPr>
          <w:ilvl w:val="2"/>
          <w:numId w:val="137"/>
        </w:numPr>
        <w:rPr>
          <w:rFonts w:ascii="Arial" w:cs="Arial" w:eastAsia="Arial" w:hAnsi="Arial"/>
          <w:sz w:val="19"/>
          <w:szCs w:val="19"/>
          <w:color w:val="auto"/>
        </w:rPr>
      </w:pPr>
      <w:r>
        <w:rPr>
          <w:rFonts w:ascii="Arial" w:cs="Arial" w:eastAsia="Arial" w:hAnsi="Arial"/>
          <w:sz w:val="19"/>
          <w:szCs w:val="19"/>
          <w:color w:val="auto"/>
        </w:rPr>
        <w:t>All of the Pledged Collateral of each Pledgor that is in certificated form, is registered in the name of such Pledgor;</w:t>
      </w:r>
    </w:p>
    <w:p>
      <w:pPr>
        <w:spacing w:after="0" w:line="227" w:lineRule="exact"/>
        <w:rPr>
          <w:rFonts w:ascii="Arial" w:cs="Arial" w:eastAsia="Arial" w:hAnsi="Arial"/>
          <w:sz w:val="19"/>
          <w:szCs w:val="19"/>
          <w:color w:val="auto"/>
        </w:rPr>
      </w:pPr>
    </w:p>
    <w:p>
      <w:pPr>
        <w:jc w:val="both"/>
        <w:ind w:firstLine="1305"/>
        <w:spacing w:after="0" w:line="272" w:lineRule="auto"/>
        <w:tabs>
          <w:tab w:leader="none" w:pos="1737" w:val="left"/>
        </w:tabs>
        <w:numPr>
          <w:ilvl w:val="2"/>
          <w:numId w:val="137"/>
        </w:numPr>
        <w:rPr>
          <w:rFonts w:ascii="Arial" w:cs="Arial" w:eastAsia="Arial" w:hAnsi="Arial"/>
          <w:sz w:val="18"/>
          <w:szCs w:val="18"/>
          <w:color w:val="auto"/>
        </w:rPr>
      </w:pPr>
      <w:r>
        <w:rPr>
          <w:rFonts w:ascii="Arial" w:cs="Arial" w:eastAsia="Arial" w:hAnsi="Arial"/>
          <w:sz w:val="18"/>
          <w:szCs w:val="18"/>
          <w:color w:val="auto"/>
        </w:rPr>
        <w:t>As of the Closing Date, all of the Pledged Interests of each Pledgor are either (i) not (A) dealt in or traded on securities exchanges or in securities markets, (B) deemed to be investment company securities, (C) held by such Pledgor in a securities account or (D) subject to a control agreement with (x) the Issuer of such Pledged Interest or (y) a securities intermediary relating to such Pledged Interest or</w:t>
      </w:r>
    </w:p>
    <w:p>
      <w:pPr>
        <w:spacing w:after="0" w:line="1" w:lineRule="exact"/>
        <w:rPr>
          <w:rFonts w:ascii="Arial" w:cs="Arial" w:eastAsia="Arial" w:hAnsi="Arial"/>
          <w:sz w:val="18"/>
          <w:szCs w:val="18"/>
          <w:color w:val="auto"/>
        </w:rPr>
      </w:pPr>
    </w:p>
    <w:p>
      <w:pPr>
        <w:jc w:val="both"/>
        <w:ind w:firstLine="8"/>
        <w:spacing w:after="0"/>
        <w:tabs>
          <w:tab w:leader="none" w:pos="31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under the control (for purposes of Article 8 and 9 of the UCC, to the extent applicable) of Agent, and such Pledgor has taken all action necessary to grant Agent control (for purposes of Article 8 and 9 of the UCC, to the extent applicable) of such Pledged Interests. In addition, as of the Closing Date, none of the Pledged Interests, or any agreements governing any of the Pledged Interests, provides that such Pledged Interests are securities governed by Article 8 of the Uniform Commercial Code as in effect in any relevant jurisdiction, to the extent applicable, whether as a result of actions by any Issuer thereof or otherwise;</w:t>
      </w:r>
    </w:p>
    <w:p>
      <w:pPr>
        <w:spacing w:after="0" w:line="198" w:lineRule="exact"/>
        <w:rPr>
          <w:rFonts w:ascii="Arial" w:cs="Arial" w:eastAsia="Arial" w:hAnsi="Arial"/>
          <w:sz w:val="20"/>
          <w:szCs w:val="20"/>
          <w:color w:val="auto"/>
        </w:rPr>
      </w:pPr>
    </w:p>
    <w:p>
      <w:pPr>
        <w:ind w:right="20" w:firstLine="1305"/>
        <w:spacing w:after="0" w:line="260" w:lineRule="auto"/>
        <w:tabs>
          <w:tab w:leader="none" w:pos="1748" w:val="left"/>
        </w:tabs>
        <w:numPr>
          <w:ilvl w:val="2"/>
          <w:numId w:val="138"/>
        </w:numPr>
        <w:rPr>
          <w:rFonts w:ascii="Arial" w:cs="Arial" w:eastAsia="Arial" w:hAnsi="Arial"/>
          <w:sz w:val="20"/>
          <w:szCs w:val="20"/>
          <w:color w:val="auto"/>
        </w:rPr>
      </w:pPr>
      <w:r>
        <w:rPr>
          <w:rFonts w:ascii="Arial" w:cs="Arial" w:eastAsia="Arial" w:hAnsi="Arial"/>
          <w:sz w:val="20"/>
          <w:szCs w:val="20"/>
          <w:color w:val="auto"/>
        </w:rPr>
        <w:t xml:space="preserve">The Pledged Collateral constitutes at least the percentage of all the issued and outstanding Equity Interests of each such Issuer as set forth on </w:t>
      </w:r>
      <w:r>
        <w:rPr>
          <w:rFonts w:ascii="Arial" w:cs="Arial" w:eastAsia="Arial" w:hAnsi="Arial"/>
          <w:sz w:val="20"/>
          <w:szCs w:val="20"/>
          <w:u w:val="single" w:color="auto"/>
          <w:color w:val="auto"/>
        </w:rPr>
        <w:t>Schedule I</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left="1800" w:hanging="495"/>
        <w:spacing w:after="0"/>
        <w:tabs>
          <w:tab w:leader="none" w:pos="180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 xml:space="preserve">The items listed as Pledged Collateral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constitute the only Equity Interests in which Pledgors have any</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rights;</w:t>
      </w:r>
    </w:p>
    <w:p>
      <w:pPr>
        <w:spacing w:after="0" w:line="199" w:lineRule="exact"/>
        <w:rPr>
          <w:rFonts w:ascii="Arial" w:cs="Arial" w:eastAsia="Arial" w:hAnsi="Arial"/>
          <w:sz w:val="18"/>
          <w:szCs w:val="18"/>
          <w:color w:val="auto"/>
        </w:rPr>
      </w:pPr>
    </w:p>
    <w:p>
      <w:pPr>
        <w:ind w:left="1680" w:hanging="375"/>
        <w:spacing w:after="0"/>
        <w:tabs>
          <w:tab w:leader="none" w:pos="1680" w:val="left"/>
        </w:tabs>
        <w:numPr>
          <w:ilvl w:val="2"/>
          <w:numId w:val="138"/>
        </w:numPr>
        <w:rPr>
          <w:rFonts w:ascii="Arial" w:cs="Arial" w:eastAsia="Arial" w:hAnsi="Arial"/>
          <w:sz w:val="20"/>
          <w:szCs w:val="20"/>
          <w:color w:val="auto"/>
        </w:rPr>
      </w:pPr>
      <w:r>
        <w:rPr>
          <w:rFonts w:ascii="Arial" w:cs="Arial" w:eastAsia="Arial" w:hAnsi="Arial"/>
          <w:sz w:val="20"/>
          <w:szCs w:val="20"/>
          <w:color w:val="auto"/>
        </w:rPr>
        <w:t>All certificates evidencing the Pledged Collateral of Pledgors have been delivered to Agent;</w:t>
      </w:r>
    </w:p>
    <w:p>
      <w:pPr>
        <w:spacing w:after="0" w:line="215" w:lineRule="exact"/>
        <w:rPr>
          <w:rFonts w:ascii="Arial" w:cs="Arial" w:eastAsia="Arial" w:hAnsi="Arial"/>
          <w:sz w:val="20"/>
          <w:szCs w:val="20"/>
          <w:color w:val="auto"/>
        </w:rPr>
      </w:pPr>
    </w:p>
    <w:p>
      <w:pPr>
        <w:jc w:val="both"/>
        <w:ind w:firstLine="1305"/>
        <w:spacing w:after="0" w:line="291" w:lineRule="auto"/>
        <w:tabs>
          <w:tab w:leader="none" w:pos="1802" w:val="left"/>
        </w:tabs>
        <w:numPr>
          <w:ilvl w:val="2"/>
          <w:numId w:val="138"/>
        </w:numPr>
        <w:rPr>
          <w:rFonts w:ascii="Arial" w:cs="Arial" w:eastAsia="Arial" w:hAnsi="Arial"/>
          <w:sz w:val="18"/>
          <w:szCs w:val="18"/>
          <w:color w:val="auto"/>
        </w:rPr>
      </w:pPr>
      <w:r>
        <w:rPr>
          <w:rFonts w:ascii="Arial" w:cs="Arial" w:eastAsia="Arial" w:hAnsi="Arial"/>
          <w:sz w:val="18"/>
          <w:szCs w:val="18"/>
          <w:color w:val="auto"/>
        </w:rPr>
        <w:t>Pledgors have good and marketable title to the Pledged Collateral. Pledgors are the sole owner of all of the Pledged Collateral, free and clear of all security interests, pledges, voting trusts, agreements, liens, claims and encumbrances whatsoever, other than Permitted Liens and the security interests, assignments and liens granted under this Agreement and the other Financing Documents;</w:t>
      </w:r>
    </w:p>
    <w:p>
      <w:pPr>
        <w:spacing w:after="0" w:line="151" w:lineRule="exact"/>
        <w:rPr>
          <w:rFonts w:ascii="Arial" w:cs="Arial" w:eastAsia="Arial" w:hAnsi="Arial"/>
          <w:sz w:val="18"/>
          <w:szCs w:val="18"/>
          <w:color w:val="auto"/>
        </w:rPr>
      </w:pPr>
    </w:p>
    <w:p>
      <w:pPr>
        <w:ind w:firstLine="1305"/>
        <w:spacing w:after="0" w:line="260" w:lineRule="auto"/>
        <w:tabs>
          <w:tab w:leader="none" w:pos="1707" w:val="left"/>
        </w:tabs>
        <w:numPr>
          <w:ilvl w:val="2"/>
          <w:numId w:val="138"/>
        </w:numPr>
        <w:rPr>
          <w:rFonts w:ascii="Arial" w:cs="Arial" w:eastAsia="Arial" w:hAnsi="Arial"/>
          <w:sz w:val="20"/>
          <w:szCs w:val="20"/>
          <w:color w:val="auto"/>
        </w:rPr>
      </w:pPr>
      <w:r>
        <w:rPr>
          <w:rFonts w:ascii="Arial" w:cs="Arial" w:eastAsia="Arial" w:hAnsi="Arial"/>
          <w:sz w:val="20"/>
          <w:szCs w:val="20"/>
          <w:color w:val="auto"/>
        </w:rPr>
        <w:t>Other than pursuant to Permitted Liens, no Pledgor has heretofore transferred, pledged, assigned or otherwise encumbered any of their rights in or to the Pledged Collateral;</w:t>
      </w:r>
    </w:p>
    <w:p>
      <w:pPr>
        <w:spacing w:after="0" w:line="176" w:lineRule="exact"/>
        <w:rPr>
          <w:rFonts w:ascii="Arial" w:cs="Arial" w:eastAsia="Arial" w:hAnsi="Arial"/>
          <w:sz w:val="20"/>
          <w:szCs w:val="20"/>
          <w:color w:val="auto"/>
        </w:rPr>
      </w:pPr>
    </w:p>
    <w:p>
      <w:pPr>
        <w:jc w:val="both"/>
        <w:ind w:firstLine="1305"/>
        <w:spacing w:after="0" w:line="246" w:lineRule="auto"/>
        <w:tabs>
          <w:tab w:leader="none" w:pos="1663" w:val="left"/>
        </w:tabs>
        <w:numPr>
          <w:ilvl w:val="2"/>
          <w:numId w:val="138"/>
        </w:numPr>
        <w:rPr>
          <w:rFonts w:ascii="Arial" w:cs="Arial" w:eastAsia="Arial" w:hAnsi="Arial"/>
          <w:sz w:val="20"/>
          <w:szCs w:val="20"/>
          <w:color w:val="auto"/>
        </w:rPr>
      </w:pPr>
      <w:r>
        <w:rPr>
          <w:rFonts w:ascii="Arial" w:cs="Arial" w:eastAsia="Arial" w:hAnsi="Arial"/>
          <w:sz w:val="20"/>
          <w:szCs w:val="20"/>
          <w:color w:val="auto"/>
        </w:rPr>
        <w:t>Other than a requirement of consent of other members contained in the operating agreements governing any of the Pledged Collateral (which such consent has been obtained, if any), Pledgors are not prohibited under any agreement with any other person or entity, or under any judgment or decree, from the execution and delivery of this Agreement or the performance or discharge of the obligations, duties, covenants, agreements, and liabilities contained in this Agreement;</w:t>
      </w:r>
    </w:p>
    <w:p>
      <w:pPr>
        <w:spacing w:after="0" w:line="200" w:lineRule="exact"/>
        <w:rPr>
          <w:sz w:val="20"/>
          <w:szCs w:val="20"/>
          <w:color w:val="auto"/>
        </w:rPr>
      </w:pPr>
    </w:p>
    <w:p>
      <w:pPr>
        <w:spacing w:after="0" w:line="392"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2" w:right="239" w:bottom="1440" w:gutter="0" w:footer="0" w:header="0"/>
        </w:sectPr>
      </w:pPr>
    </w:p>
    <w:bookmarkStart w:id="110" w:name="page111"/>
    <w:bookmarkEnd w:id="110"/>
    <w:p>
      <w:pPr>
        <w:jc w:val="both"/>
        <w:ind w:left="-260" w:firstLine="1305"/>
        <w:spacing w:after="0" w:line="250" w:lineRule="auto"/>
        <w:tabs>
          <w:tab w:leader="none" w:pos="1417" w:val="left"/>
        </w:tabs>
        <w:numPr>
          <w:ilvl w:val="1"/>
          <w:numId w:val="139"/>
        </w:numPr>
        <w:rPr>
          <w:rFonts w:ascii="Arial" w:cs="Arial" w:eastAsia="Arial" w:hAnsi="Arial"/>
          <w:sz w:val="20"/>
          <w:szCs w:val="20"/>
          <w:color w:val="auto"/>
        </w:rPr>
      </w:pPr>
      <w:r>
        <w:rPr>
          <w:rFonts w:ascii="Arial" w:cs="Arial" w:eastAsia="Arial" w:hAnsi="Arial"/>
          <w:sz w:val="20"/>
          <w:szCs w:val="20"/>
          <w:color w:val="auto"/>
        </w:rPr>
        <w:t>No action has been brought or threatened in writing that might prohibit or interfere with the execution and delivery of this Agreement or the performance or discharge in any material respect of the obligations, duties, covenants, agreements, and liabilities contained in this Agreement;</w:t>
      </w:r>
    </w:p>
    <w:p>
      <w:pPr>
        <w:spacing w:after="0" w:line="186" w:lineRule="exact"/>
        <w:rPr>
          <w:rFonts w:ascii="Arial" w:cs="Arial" w:eastAsia="Arial" w:hAnsi="Arial"/>
          <w:sz w:val="20"/>
          <w:szCs w:val="20"/>
          <w:color w:val="auto"/>
        </w:rPr>
      </w:pPr>
    </w:p>
    <w:p>
      <w:pPr>
        <w:jc w:val="both"/>
        <w:ind w:left="-260" w:firstLine="1305"/>
        <w:spacing w:after="0" w:line="291" w:lineRule="auto"/>
        <w:tabs>
          <w:tab w:leader="none" w:pos="152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Pledgors have full power and authority to execute and deliver this Agreement, and the execution and delivery of this Agreement do not conflict with any agreement to which any Pledgor is a party or any law, order, ordinance, rule, or regulation to which any Pledgor is subject or by which it is bound and do not constitute a default under any agreement or instrument binding upon any Pledgor; and</w:t>
      </w:r>
    </w:p>
    <w:p>
      <w:pPr>
        <w:spacing w:after="0" w:line="151" w:lineRule="exact"/>
        <w:rPr>
          <w:rFonts w:ascii="Arial" w:cs="Arial" w:eastAsia="Arial" w:hAnsi="Arial"/>
          <w:sz w:val="18"/>
          <w:szCs w:val="18"/>
          <w:color w:val="auto"/>
        </w:rPr>
      </w:pPr>
    </w:p>
    <w:p>
      <w:pPr>
        <w:ind w:left="-260" w:firstLine="1305"/>
        <w:spacing w:after="0" w:line="260" w:lineRule="auto"/>
        <w:tabs>
          <w:tab w:leader="none" w:pos="1417"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This Agreement has been properly executed and delivered and constitutes the valid and legally binding obligation of each Pledgor and is fully enforceable against each Pledgor in accordance with its terms.</w:t>
      </w:r>
    </w:p>
    <w:p>
      <w:pPr>
        <w:spacing w:after="0" w:line="201" w:lineRule="exact"/>
        <w:rPr>
          <w:rFonts w:ascii="Arial" w:cs="Arial" w:eastAsia="Arial" w:hAnsi="Arial"/>
          <w:sz w:val="20"/>
          <w:szCs w:val="20"/>
          <w:color w:val="auto"/>
        </w:rPr>
      </w:pPr>
    </w:p>
    <w:p>
      <w:pPr>
        <w:ind w:left="740" w:hanging="344"/>
        <w:spacing w:after="0"/>
        <w:tabs>
          <w:tab w:leader="none" w:pos="740" w:val="left"/>
        </w:tabs>
        <w:numPr>
          <w:ilvl w:val="0"/>
          <w:numId w:val="140"/>
        </w:numPr>
        <w:rPr>
          <w:rFonts w:ascii="Arial" w:cs="Arial" w:eastAsia="Arial" w:hAnsi="Arial"/>
          <w:sz w:val="22"/>
          <w:szCs w:val="22"/>
          <w:b w:val="1"/>
          <w:bCs w:val="1"/>
          <w:color w:val="auto"/>
        </w:rPr>
      </w:pPr>
      <w:r>
        <w:rPr>
          <w:rFonts w:ascii="Arial" w:cs="Arial" w:eastAsia="Arial" w:hAnsi="Arial"/>
          <w:sz w:val="20"/>
          <w:szCs w:val="20"/>
          <w:u w:val="single" w:color="auto"/>
          <w:color w:val="auto"/>
        </w:rPr>
        <w:t>Covenants of Pledgors</w:t>
      </w:r>
      <w:r>
        <w:rPr>
          <w:rFonts w:ascii="Arial" w:cs="Arial" w:eastAsia="Arial" w:hAnsi="Arial"/>
          <w:sz w:val="20"/>
          <w:szCs w:val="20"/>
          <w:color w:val="auto"/>
        </w:rPr>
        <w:t>. Each Pledgor hereby covenants and agrees as follows:</w:t>
      </w:r>
    </w:p>
    <w:p>
      <w:pPr>
        <w:spacing w:after="0" w:line="208" w:lineRule="exact"/>
        <w:rPr>
          <w:rFonts w:ascii="Arial" w:cs="Arial" w:eastAsia="Arial" w:hAnsi="Arial"/>
          <w:sz w:val="22"/>
          <w:szCs w:val="22"/>
          <w:b w:val="1"/>
          <w:bCs w:val="1"/>
          <w:color w:val="auto"/>
        </w:rPr>
      </w:pPr>
    </w:p>
    <w:p>
      <w:pPr>
        <w:jc w:val="both"/>
        <w:ind w:left="-260" w:firstLine="1305"/>
        <w:spacing w:after="0" w:line="250" w:lineRule="auto"/>
        <w:tabs>
          <w:tab w:leader="none" w:pos="145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To do or cause to be done all things necessary to preserve and to keep in full force and effect their interest in the Pledged Collateral, and to defend, at each Pledgor’s sole expense, as applicable, the title to the Pledged Collateral and any part of the Pledged Collateral;</w:t>
      </w:r>
    </w:p>
    <w:p>
      <w:pPr>
        <w:spacing w:after="0" w:line="186" w:lineRule="exact"/>
        <w:rPr>
          <w:rFonts w:ascii="Arial" w:cs="Arial" w:eastAsia="Arial" w:hAnsi="Arial"/>
          <w:sz w:val="20"/>
          <w:szCs w:val="20"/>
          <w:color w:val="auto"/>
        </w:rPr>
      </w:pPr>
    </w:p>
    <w:p>
      <w:pPr>
        <w:ind w:left="-260" w:firstLine="1305"/>
        <w:spacing w:after="0" w:line="260" w:lineRule="auto"/>
        <w:tabs>
          <w:tab w:leader="none" w:pos="154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To cooperate fully with Agent’s efforts to preserve the Pledged Collateral and to take such commercially reasonable actions to preserve the Pledged Collateral as Agent may in good faith direct;</w:t>
      </w:r>
    </w:p>
    <w:p>
      <w:pPr>
        <w:spacing w:after="0" w:line="176" w:lineRule="exact"/>
        <w:rPr>
          <w:rFonts w:ascii="Arial" w:cs="Arial" w:eastAsia="Arial" w:hAnsi="Arial"/>
          <w:sz w:val="20"/>
          <w:szCs w:val="20"/>
          <w:color w:val="auto"/>
        </w:rPr>
      </w:pPr>
    </w:p>
    <w:p>
      <w:pPr>
        <w:ind w:left="-260" w:firstLine="1305"/>
        <w:spacing w:after="0" w:line="287" w:lineRule="auto"/>
        <w:tabs>
          <w:tab w:leader="none" w:pos="1436"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To cause each Issuer to maintain proper books of record and account in which full, true and correct entries are made of all dealings and transactions in relation to the Pledged Collateral and which reflect the lien of Agent on the Pledged Collateral;</w:t>
      </w:r>
    </w:p>
    <w:p>
      <w:pPr>
        <w:spacing w:after="0" w:line="152" w:lineRule="exact"/>
        <w:rPr>
          <w:rFonts w:ascii="Arial" w:cs="Arial" w:eastAsia="Arial" w:hAnsi="Arial"/>
          <w:sz w:val="19"/>
          <w:szCs w:val="19"/>
          <w:color w:val="auto"/>
        </w:rPr>
      </w:pPr>
    </w:p>
    <w:p>
      <w:pPr>
        <w:jc w:val="both"/>
        <w:ind w:left="-260" w:firstLine="1305"/>
        <w:spacing w:after="0" w:line="282" w:lineRule="auto"/>
        <w:tabs>
          <w:tab w:leader="none" w:pos="1447" w:val="left"/>
        </w:tabs>
        <w:numPr>
          <w:ilvl w:val="1"/>
          <w:numId w:val="140"/>
        </w:numPr>
        <w:rPr>
          <w:rFonts w:ascii="Arial" w:cs="Arial" w:eastAsia="Arial" w:hAnsi="Arial"/>
          <w:sz w:val="18"/>
          <w:szCs w:val="18"/>
          <w:color w:val="auto"/>
        </w:rPr>
      </w:pPr>
      <w:r>
        <w:rPr>
          <w:rFonts w:ascii="Arial" w:cs="Arial" w:eastAsia="Arial" w:hAnsi="Arial"/>
          <w:sz w:val="18"/>
          <w:szCs w:val="18"/>
          <w:color w:val="auto"/>
        </w:rPr>
        <w:t xml:space="preserve">To deliver immediately to Agent any certificates that may be issued following the date of this Agreement representing the Pledged Collateral, and to execute and deliver to Agent one or more transfer powers, substantially in the form of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or otherwise in form and content reasonably satisfactory to Agent, pursuant to which such Pledgor assigns, in blank, all Pledged Collateral (the “</w:t>
      </w:r>
      <w:r>
        <w:rPr>
          <w:rFonts w:ascii="Arial" w:cs="Arial" w:eastAsia="Arial" w:hAnsi="Arial"/>
          <w:sz w:val="18"/>
          <w:szCs w:val="18"/>
          <w:b w:val="1"/>
          <w:bCs w:val="1"/>
          <w:color w:val="auto"/>
        </w:rPr>
        <w:t>Transfer Powers</w:t>
      </w:r>
      <w:r>
        <w:rPr>
          <w:rFonts w:ascii="Arial" w:cs="Arial" w:eastAsia="Arial" w:hAnsi="Arial"/>
          <w:sz w:val="18"/>
          <w:szCs w:val="18"/>
          <w:color w:val="auto"/>
        </w:rPr>
        <w:t>”), which Transfer Powers shall be held by Agent as part of the Pledged Collateral;</w:t>
      </w:r>
    </w:p>
    <w:p>
      <w:pPr>
        <w:spacing w:after="0" w:line="161" w:lineRule="exact"/>
        <w:rPr>
          <w:rFonts w:ascii="Arial" w:cs="Arial" w:eastAsia="Arial" w:hAnsi="Arial"/>
          <w:sz w:val="18"/>
          <w:szCs w:val="18"/>
          <w:color w:val="auto"/>
        </w:rPr>
      </w:pPr>
    </w:p>
    <w:p>
      <w:pPr>
        <w:jc w:val="both"/>
        <w:ind w:left="-260" w:firstLine="1305"/>
        <w:spacing w:after="0" w:line="250" w:lineRule="auto"/>
        <w:tabs>
          <w:tab w:leader="none" w:pos="1490" w:val="left"/>
        </w:tabs>
        <w:numPr>
          <w:ilvl w:val="1"/>
          <w:numId w:val="140"/>
        </w:numPr>
        <w:rPr>
          <w:rFonts w:ascii="Arial" w:cs="Arial" w:eastAsia="Arial" w:hAnsi="Arial"/>
          <w:sz w:val="20"/>
          <w:szCs w:val="20"/>
          <w:color w:val="auto"/>
        </w:rPr>
      </w:pPr>
      <w:r>
        <w:rPr>
          <w:rFonts w:ascii="Arial" w:cs="Arial" w:eastAsia="Arial" w:hAnsi="Arial"/>
          <w:sz w:val="20"/>
          <w:szCs w:val="20"/>
          <w:color w:val="auto"/>
        </w:rPr>
        <w:t>To deliver to Agent such financing statements as Agent may request with respect to the Pledged Collateral, and to take such other steps as Agent may from time to time reasonably request to perfect Agent’s security interest in the Pledged Collateral under applicable law;</w:t>
      </w:r>
    </w:p>
    <w:p>
      <w:pPr>
        <w:spacing w:after="0" w:line="186" w:lineRule="exact"/>
        <w:rPr>
          <w:rFonts w:ascii="Arial" w:cs="Arial" w:eastAsia="Arial" w:hAnsi="Arial"/>
          <w:sz w:val="20"/>
          <w:szCs w:val="20"/>
          <w:color w:val="auto"/>
        </w:rPr>
      </w:pPr>
    </w:p>
    <w:p>
      <w:pPr>
        <w:ind w:left="-260" w:firstLine="1305"/>
        <w:spacing w:after="0" w:line="260" w:lineRule="auto"/>
        <w:tabs>
          <w:tab w:leader="none" w:pos="1414" w:val="left"/>
        </w:tabs>
        <w:numPr>
          <w:ilvl w:val="1"/>
          <w:numId w:val="140"/>
        </w:numPr>
        <w:rPr>
          <w:rFonts w:ascii="Arial" w:cs="Arial" w:eastAsia="Arial" w:hAnsi="Arial"/>
          <w:sz w:val="20"/>
          <w:szCs w:val="20"/>
          <w:color w:val="auto"/>
        </w:rPr>
      </w:pPr>
      <w:r>
        <w:rPr>
          <w:rFonts w:ascii="Arial" w:cs="Arial" w:eastAsia="Arial" w:hAnsi="Arial"/>
          <w:sz w:val="20"/>
          <w:szCs w:val="20"/>
          <w:color w:val="auto"/>
        </w:rPr>
        <w:t>Not to sell, discount, allow credits or allowances, assign, extend the time for payment on, convey, lease, assign, transfer or otherwise dispose of the Pledged Collateral or any part of the Pledged Collateral;</w:t>
      </w:r>
    </w:p>
    <w:p>
      <w:pPr>
        <w:spacing w:after="0" w:line="176" w:lineRule="exact"/>
        <w:rPr>
          <w:rFonts w:ascii="Arial" w:cs="Arial" w:eastAsia="Arial" w:hAnsi="Arial"/>
          <w:sz w:val="20"/>
          <w:szCs w:val="20"/>
          <w:color w:val="auto"/>
        </w:rPr>
      </w:pPr>
    </w:p>
    <w:p>
      <w:pPr>
        <w:jc w:val="both"/>
        <w:ind w:left="-260" w:firstLine="1305"/>
        <w:spacing w:after="0" w:line="263" w:lineRule="auto"/>
        <w:tabs>
          <w:tab w:leader="none" w:pos="1474" w:val="left"/>
        </w:tabs>
        <w:numPr>
          <w:ilvl w:val="1"/>
          <w:numId w:val="140"/>
        </w:numPr>
        <w:rPr>
          <w:rFonts w:ascii="Arial" w:cs="Arial" w:eastAsia="Arial" w:hAnsi="Arial"/>
          <w:sz w:val="19"/>
          <w:szCs w:val="19"/>
          <w:color w:val="auto"/>
        </w:rPr>
      </w:pPr>
      <w:r>
        <w:rPr>
          <w:rFonts w:ascii="Arial" w:cs="Arial" w:eastAsia="Arial" w:hAnsi="Arial"/>
          <w:sz w:val="19"/>
          <w:szCs w:val="19"/>
          <w:color w:val="auto"/>
        </w:rPr>
        <w:t>Except as specifically permitted by Section 4.11(f) of the Credit Agreement, after the occurrence of an Event of Default, not to receive any dividend or distribution or other benefit with respect to any Issuer, and not to vote, consent, waive or ratify any action taken, that would violate or be inconsistent with any of the terms and provisions of this Agreement or any of the Financing Documents, or that would materially impair the position or interest of Agent in the Pledged Collateral or dilute the Pledged Collateral;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500" w:top="622" w:right="239" w:bottom="1440" w:gutter="0" w:footer="0" w:header="0"/>
        </w:sectPr>
      </w:pPr>
    </w:p>
    <w:bookmarkStart w:id="111" w:name="page112"/>
    <w:bookmarkEnd w:id="111"/>
    <w:p>
      <w:pPr>
        <w:ind w:firstLine="1305"/>
        <w:spacing w:after="0" w:line="316" w:lineRule="auto"/>
        <w:tabs>
          <w:tab w:leader="none" w:pos="1734"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Except as specifically permitted by the Credit Agreement, not to sell or otherwise dispose of, or create, incur, assume or suffer to exist any lien upon any of the Pledged Collateral, other than liens in favor of Agent, for its benefit and the benefit of the Lenders;</w:t>
      </w:r>
    </w:p>
    <w:p>
      <w:pPr>
        <w:spacing w:after="0" w:line="130" w:lineRule="exact"/>
        <w:rPr>
          <w:rFonts w:ascii="Arial" w:cs="Arial" w:eastAsia="Arial" w:hAnsi="Arial"/>
          <w:sz w:val="18"/>
          <w:szCs w:val="18"/>
          <w:color w:val="auto"/>
        </w:rPr>
      </w:pPr>
    </w:p>
    <w:p>
      <w:pPr>
        <w:jc w:val="both"/>
        <w:ind w:firstLine="1305"/>
        <w:spacing w:after="0" w:line="276" w:lineRule="auto"/>
        <w:tabs>
          <w:tab w:leader="none" w:pos="169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 xml:space="preserve">Such Pledgor will, upon obtaining ownership of any other Pledged Collateral otherwise required to be pledged to Agent, for its benefit and the benefit of the Lenders, pursuant to any of the Financing Documents, within five (5) Business Days of obtaining ownership, deliver to Agent a Pledge Amendment, duly executed by Pledgor, in substantially the form of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hereto (a “</w:t>
      </w:r>
      <w:r>
        <w:rPr>
          <w:rFonts w:ascii="Arial" w:cs="Arial" w:eastAsia="Arial" w:hAnsi="Arial"/>
          <w:sz w:val="18"/>
          <w:szCs w:val="18"/>
          <w:b w:val="1"/>
          <w:bCs w:val="1"/>
          <w:color w:val="auto"/>
        </w:rPr>
        <w:t>Pledge</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in respect of any such additional Pledged Collateral pursuant to which such Pledgor shall pledge to Agent, for its benefit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Lenders, all of such additional Pledged Collateral. Prior to the delivery thereof to Agent, all such additional Pledged Collateral shall be held by Pledgors separate and apart from its other property and in express trust for Agent, for its benefit and the benefit of the Lenders;</w:t>
      </w:r>
    </w:p>
    <w:p>
      <w:pPr>
        <w:spacing w:after="0" w:line="165" w:lineRule="exact"/>
        <w:rPr>
          <w:rFonts w:ascii="Arial" w:cs="Arial" w:eastAsia="Arial" w:hAnsi="Arial"/>
          <w:sz w:val="18"/>
          <w:szCs w:val="18"/>
          <w:color w:val="auto"/>
        </w:rPr>
      </w:pPr>
    </w:p>
    <w:p>
      <w:pPr>
        <w:ind w:right="20" w:firstLine="1305"/>
        <w:spacing w:after="0" w:line="260" w:lineRule="auto"/>
        <w:tabs>
          <w:tab w:leader="none" w:pos="1663" w:val="left"/>
        </w:tabs>
        <w:numPr>
          <w:ilvl w:val="1"/>
          <w:numId w:val="141"/>
        </w:numPr>
        <w:rPr>
          <w:rFonts w:ascii="Arial" w:cs="Arial" w:eastAsia="Arial" w:hAnsi="Arial"/>
          <w:sz w:val="20"/>
          <w:szCs w:val="20"/>
          <w:color w:val="auto"/>
        </w:rPr>
      </w:pPr>
      <w:r>
        <w:rPr>
          <w:rFonts w:ascii="Arial" w:cs="Arial" w:eastAsia="Arial" w:hAnsi="Arial"/>
          <w:sz w:val="20"/>
          <w:szCs w:val="20"/>
          <w:color w:val="auto"/>
        </w:rPr>
        <w:t>Such Pledgor consents to the admission of Agent (and its assigns or designee) as a member, partner or stockholder of each Issuer, as applicable, upon Agent’s acquisition of any of the Pledged Collateral;</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of the Pledged Collateral of such Pledgor that is in certificated form, will continue to be registered in the name of such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Pledgor; and</w:t>
      </w:r>
    </w:p>
    <w:p>
      <w:pPr>
        <w:spacing w:after="0" w:line="199" w:lineRule="exact"/>
        <w:rPr>
          <w:rFonts w:ascii="Arial" w:cs="Arial" w:eastAsia="Arial" w:hAnsi="Arial"/>
          <w:sz w:val="18"/>
          <w:szCs w:val="18"/>
          <w:color w:val="auto"/>
        </w:rPr>
      </w:pPr>
    </w:p>
    <w:p>
      <w:pPr>
        <w:jc w:val="both"/>
        <w:ind w:firstLine="1305"/>
        <w:spacing w:after="0" w:line="278" w:lineRule="auto"/>
        <w:tabs>
          <w:tab w:leader="none" w:pos="169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of the Pledged Interests of such Pledgor, (i) shall not be (A) dealt in or traded on securities exchanges or in securities markets, (B) deemed to be investment company securities, (C) held by such Pledgor in a securities account and (D) subject to a control agreement with (x) the Issuer of such Pledged Interest or (y) a securities intermediary relating to such Pledged Interest or (ii) shall be under the control (for purposes of Article 8 and 9 of the UCC, to the extent applicable) of Agent, and such Pledgor shall take all action necessary to grant Agent control (for purposes of Article 8 and 9 of the UCC, to the extent applicable) of such Pledged Interests.</w:t>
      </w:r>
    </w:p>
    <w:p>
      <w:pPr>
        <w:spacing w:after="0" w:line="192" w:lineRule="exact"/>
        <w:rPr>
          <w:rFonts w:ascii="Arial" w:cs="Arial" w:eastAsia="Arial" w:hAnsi="Arial"/>
          <w:sz w:val="18"/>
          <w:szCs w:val="18"/>
          <w:color w:val="auto"/>
        </w:rPr>
      </w:pPr>
    </w:p>
    <w:p>
      <w:pPr>
        <w:jc w:val="both"/>
        <w:ind w:firstLine="656"/>
        <w:spacing w:after="0" w:line="299" w:lineRule="auto"/>
        <w:tabs>
          <w:tab w:leader="none" w:pos="1031" w:val="left"/>
        </w:tabs>
        <w:numPr>
          <w:ilvl w:val="0"/>
          <w:numId w:val="142"/>
        </w:numPr>
        <w:rPr>
          <w:rFonts w:ascii="Arial" w:cs="Arial" w:eastAsia="Arial" w:hAnsi="Arial"/>
          <w:sz w:val="19"/>
          <w:szCs w:val="19"/>
          <w:b w:val="1"/>
          <w:bCs w:val="1"/>
          <w:color w:val="auto"/>
        </w:rPr>
      </w:pPr>
      <w:r>
        <w:rPr>
          <w:rFonts w:ascii="Arial" w:cs="Arial" w:eastAsia="Arial" w:hAnsi="Arial"/>
          <w:sz w:val="18"/>
          <w:szCs w:val="18"/>
          <w:u w:val="single" w:color="auto"/>
          <w:color w:val="auto"/>
        </w:rPr>
        <w:t>Rights of Agent</w:t>
      </w:r>
      <w:r>
        <w:rPr>
          <w:rFonts w:ascii="Arial" w:cs="Arial" w:eastAsia="Arial" w:hAnsi="Arial"/>
          <w:sz w:val="18"/>
          <w:szCs w:val="18"/>
          <w:color w:val="auto"/>
        </w:rPr>
        <w:t>. Agent may from time to time and at its option (a) require each Pledgor to, and each Pledgor shall, periodically deliver to Agent records and schedules, which show the status of the Pledged Collateral and such other matters which affect the Pledged Collateral; (b) verify the Pledged Collateral and inspect the books and records of each Issuer and make copies of or extracts from the books and records; and (c) notify any prospective buyers or transferees of the Pledged Collateral of Agent’s interest in the Pledged Collateral. Each Pledgor agrees that Agent may at any time take such steps as Agent deems reasonably necessary to protect Agent’s interest in and to preserve the Pledged Collateral. Each Pledgor hereby consents and agrees that Agent may at any time or from time to time pursuant to the Credit Agreement (a) extend or change the time of payment and/or the manner, place or terms of payment of any and all Obligations, (b) supplement, amend, restate, supersede, or replace the Credit Agreement or any other Financing Documents, (c) renew, extend, modify, increase or decrease loans and extensions of credit under the Credit Agreement, (d) modify the terms and conditions under which loans and extensions of credit may be made under the Credit Agreement, (e) settle, compromise or grant releases for any Obligations and/or any person or persons liable for payment of any Obligations, (f) exchange, release, surrender, sell, subordinate or compromise any collateral of any party now or hereafter securing any of the Obligations and (g) apply any and all payments received from any source by Agent at any time against the Obligations in any order as Agent may determine pursuant to the terms of the Credit Agreement; all of the foregoing in such manner and upon such terms as Agent may determine and without notice to or further consent from any Pledgor and without impairing or modifying the terms and conditions of this Agreement which shall remain in full force and effect.</w:t>
      </w:r>
    </w:p>
    <w:p>
      <w:pPr>
        <w:spacing w:after="0" w:line="200" w:lineRule="exact"/>
        <w:rPr>
          <w:sz w:val="20"/>
          <w:szCs w:val="20"/>
          <w:color w:val="auto"/>
        </w:rPr>
      </w:pPr>
    </w:p>
    <w:p>
      <w:pPr>
        <w:spacing w:after="0" w:line="370"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2" w:right="239" w:bottom="1440" w:gutter="0" w:footer="0" w:header="0"/>
        </w:sectPr>
      </w:pPr>
    </w:p>
    <w:bookmarkStart w:id="112" w:name="page113"/>
    <w:bookmarkEnd w:id="112"/>
    <w:p>
      <w:pPr>
        <w:ind w:left="652"/>
        <w:spacing w:after="0"/>
        <w:rPr>
          <w:sz w:val="20"/>
          <w:szCs w:val="20"/>
          <w:color w:val="auto"/>
        </w:rPr>
      </w:pPr>
      <w:r>
        <w:rPr>
          <w:rFonts w:ascii="Arial" w:cs="Arial" w:eastAsia="Arial" w:hAnsi="Arial"/>
          <w:sz w:val="18"/>
          <w:szCs w:val="18"/>
          <w:color w:val="auto"/>
        </w:rPr>
        <w:t>This Agreement shall remain in full force and effect and shall not be limited, impaired or otherwise affected in any way by reason of</w:t>
      </w:r>
    </w:p>
    <w:p>
      <w:pPr>
        <w:spacing w:after="0" w:line="39" w:lineRule="exact"/>
        <w:rPr>
          <w:sz w:val="20"/>
          <w:szCs w:val="20"/>
          <w:color w:val="auto"/>
        </w:rPr>
      </w:pPr>
    </w:p>
    <w:p>
      <w:pPr>
        <w:ind w:left="252" w:hanging="252"/>
        <w:spacing w:after="0"/>
        <w:tabs>
          <w:tab w:leader="none" w:pos="25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delay in making demand on any Pledgor for or delay in enforcing or failure to enforce, performance or payment of any Obligations,</w:t>
      </w:r>
    </w:p>
    <w:p>
      <w:pPr>
        <w:spacing w:after="0" w:line="22" w:lineRule="exact"/>
        <w:rPr>
          <w:rFonts w:ascii="Arial" w:cs="Arial" w:eastAsia="Arial" w:hAnsi="Arial"/>
          <w:sz w:val="18"/>
          <w:szCs w:val="18"/>
          <w:color w:val="auto"/>
        </w:rPr>
      </w:pPr>
    </w:p>
    <w:p>
      <w:pPr>
        <w:jc w:val="both"/>
        <w:ind w:left="-8" w:firstLine="8"/>
        <w:spacing w:after="0"/>
        <w:tabs>
          <w:tab w:leader="none" w:pos="29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any failure, neglect or omission on Agent’s part to perfect any lien upon, protect, exercise rights against, or realize on, any property of any Pledgor or any other party securing the Obligations, (iii) any failure to obtain, retain or preserve, or the lack of prior enforcement of, any rights against any person or persons or in any property, (iv) the invalidity or unenforceability of any Obligations or rights in any Pledged Collateral under the Credit Agreement, (v) the existence or nonexistence of any defenses which may be available to any Pledgor with respect to the Obligations, or (vi) the commencement of any bankruptcy, reorganization; liquidation, dissolution or receivership proceeding or case filed by or against any Pledgor or any Borrower.</w:t>
      </w:r>
    </w:p>
    <w:p>
      <w:pPr>
        <w:spacing w:after="0" w:line="224" w:lineRule="exact"/>
        <w:rPr>
          <w:rFonts w:ascii="Arial" w:cs="Arial" w:eastAsia="Arial" w:hAnsi="Arial"/>
          <w:sz w:val="20"/>
          <w:szCs w:val="20"/>
          <w:color w:val="auto"/>
        </w:rPr>
      </w:pPr>
    </w:p>
    <w:p>
      <w:pPr>
        <w:ind w:left="-8" w:firstLine="656"/>
        <w:spacing w:after="0" w:line="265" w:lineRule="auto"/>
        <w:tabs>
          <w:tab w:leader="none" w:pos="1063" w:val="left"/>
        </w:tabs>
        <w:numPr>
          <w:ilvl w:val="1"/>
          <w:numId w:val="143"/>
        </w:numPr>
        <w:rPr>
          <w:rFonts w:ascii="Arial" w:cs="Arial" w:eastAsia="Arial" w:hAnsi="Arial"/>
          <w:sz w:val="22"/>
          <w:szCs w:val="22"/>
          <w:b w:val="1"/>
          <w:bCs w:val="1"/>
          <w:color w:val="auto"/>
        </w:rPr>
      </w:pPr>
      <w:r>
        <w:rPr>
          <w:rFonts w:ascii="Arial" w:cs="Arial" w:eastAsia="Arial" w:hAnsi="Arial"/>
          <w:sz w:val="20"/>
          <w:szCs w:val="20"/>
          <w:u w:val="single" w:color="auto"/>
          <w:color w:val="auto"/>
        </w:rPr>
        <w:t>Rights of Agent Following Event of Default</w:t>
      </w:r>
      <w:r>
        <w:rPr>
          <w:rFonts w:ascii="Arial" w:cs="Arial" w:eastAsia="Arial" w:hAnsi="Arial"/>
          <w:sz w:val="20"/>
          <w:szCs w:val="20"/>
          <w:color w:val="auto"/>
        </w:rPr>
        <w:t>. Upon the occurrence and continuation of an Event of Default, Agent may, at its option, without notice to any Pledgor or any other party, do any one or more of the following:</w:t>
      </w:r>
    </w:p>
    <w:p>
      <w:pPr>
        <w:spacing w:after="0" w:line="182" w:lineRule="exact"/>
        <w:rPr>
          <w:rFonts w:ascii="Arial" w:cs="Arial" w:eastAsia="Arial" w:hAnsi="Arial"/>
          <w:sz w:val="22"/>
          <w:szCs w:val="22"/>
          <w:b w:val="1"/>
          <w:bCs w:val="1"/>
          <w:color w:val="auto"/>
        </w:rPr>
      </w:pPr>
    </w:p>
    <w:p>
      <w:pPr>
        <w:jc w:val="both"/>
        <w:ind w:left="-8" w:firstLine="1305"/>
        <w:spacing w:after="0" w:line="250" w:lineRule="auto"/>
        <w:tabs>
          <w:tab w:leader="none" w:pos="1688" w:val="left"/>
        </w:tabs>
        <w:numPr>
          <w:ilvl w:val="2"/>
          <w:numId w:val="143"/>
        </w:numPr>
        <w:rPr>
          <w:rFonts w:ascii="Arial" w:cs="Arial" w:eastAsia="Arial" w:hAnsi="Arial"/>
          <w:sz w:val="20"/>
          <w:szCs w:val="20"/>
          <w:color w:val="auto"/>
        </w:rPr>
      </w:pPr>
      <w:r>
        <w:rPr>
          <w:rFonts w:ascii="Arial" w:cs="Arial" w:eastAsia="Arial" w:hAnsi="Arial"/>
          <w:sz w:val="20"/>
          <w:szCs w:val="20"/>
          <w:color w:val="auto"/>
        </w:rPr>
        <w:t>Exercise any and all of its rights and remedies under the Financing Documents, including declaring any unpaid balance of the Obligations to be immediately due and payable (the occurrence or nonoccurrence of an Event of Default shall in no manner impair the ability of Agent to demand payment of any portion of the Obligations that is payable upon demand);</w:t>
      </w:r>
    </w:p>
    <w:p>
      <w:pPr>
        <w:spacing w:after="0" w:line="186" w:lineRule="exact"/>
        <w:rPr>
          <w:rFonts w:ascii="Arial" w:cs="Arial" w:eastAsia="Arial" w:hAnsi="Arial"/>
          <w:sz w:val="20"/>
          <w:szCs w:val="20"/>
          <w:color w:val="auto"/>
        </w:rPr>
      </w:pPr>
    </w:p>
    <w:p>
      <w:pPr>
        <w:jc w:val="both"/>
        <w:ind w:left="-8" w:firstLine="1305"/>
        <w:spacing w:after="0" w:line="250" w:lineRule="auto"/>
        <w:tabs>
          <w:tab w:leader="none" w:pos="1834" w:val="left"/>
        </w:tabs>
        <w:numPr>
          <w:ilvl w:val="2"/>
          <w:numId w:val="143"/>
        </w:numPr>
        <w:rPr>
          <w:rFonts w:ascii="Arial" w:cs="Arial" w:eastAsia="Arial" w:hAnsi="Arial"/>
          <w:sz w:val="20"/>
          <w:szCs w:val="20"/>
          <w:color w:val="auto"/>
        </w:rPr>
      </w:pPr>
      <w:r>
        <w:rPr>
          <w:rFonts w:ascii="Arial" w:cs="Arial" w:eastAsia="Arial" w:hAnsi="Arial"/>
          <w:sz w:val="20"/>
          <w:szCs w:val="20"/>
          <w:color w:val="auto"/>
        </w:rPr>
        <w:t>Proceed to perform or discharge any and all of each Pledgor’s obligations, duties, responsibilities or liabilities and exercise any and all of its rights in connection with the Pledged Collateral for such period of time as Agent may deem appropriate, with or without the bringing of any legal action in or the appointment of any receiver by any court;</w:t>
      </w:r>
    </w:p>
    <w:p>
      <w:pPr>
        <w:spacing w:after="0" w:line="186" w:lineRule="exact"/>
        <w:rPr>
          <w:rFonts w:ascii="Arial" w:cs="Arial" w:eastAsia="Arial" w:hAnsi="Arial"/>
          <w:sz w:val="20"/>
          <w:szCs w:val="20"/>
          <w:color w:val="auto"/>
        </w:rPr>
      </w:pPr>
    </w:p>
    <w:p>
      <w:pPr>
        <w:ind w:left="-8" w:right="20" w:firstLine="1305"/>
        <w:spacing w:after="0" w:line="260" w:lineRule="auto"/>
        <w:tabs>
          <w:tab w:leader="none" w:pos="1702" w:val="left"/>
        </w:tabs>
        <w:numPr>
          <w:ilvl w:val="2"/>
          <w:numId w:val="143"/>
        </w:numPr>
        <w:rPr>
          <w:rFonts w:ascii="Arial" w:cs="Arial" w:eastAsia="Arial" w:hAnsi="Arial"/>
          <w:sz w:val="20"/>
          <w:szCs w:val="20"/>
          <w:color w:val="auto"/>
        </w:rPr>
      </w:pPr>
      <w:r>
        <w:rPr>
          <w:rFonts w:ascii="Arial" w:cs="Arial" w:eastAsia="Arial" w:hAnsi="Arial"/>
          <w:sz w:val="20"/>
          <w:szCs w:val="20"/>
          <w:color w:val="auto"/>
        </w:rPr>
        <w:t>Do all other acts which Agent may deem necessary or proper to protect Agent’s security interest in the Pledged Collateral and carry out the terms of this Agreement;</w:t>
      </w:r>
    </w:p>
    <w:p>
      <w:pPr>
        <w:spacing w:after="0" w:line="176" w:lineRule="exact"/>
        <w:rPr>
          <w:rFonts w:ascii="Arial" w:cs="Arial" w:eastAsia="Arial" w:hAnsi="Arial"/>
          <w:sz w:val="20"/>
          <w:szCs w:val="20"/>
          <w:color w:val="auto"/>
        </w:rPr>
      </w:pPr>
    </w:p>
    <w:p>
      <w:pPr>
        <w:jc w:val="both"/>
        <w:ind w:left="-8" w:firstLine="1305"/>
        <w:spacing w:after="0" w:line="269" w:lineRule="auto"/>
        <w:tabs>
          <w:tab w:leader="none" w:pos="1726" w:val="left"/>
        </w:tabs>
        <w:numPr>
          <w:ilvl w:val="2"/>
          <w:numId w:val="143"/>
        </w:numPr>
        <w:rPr>
          <w:rFonts w:ascii="Arial" w:cs="Arial" w:eastAsia="Arial" w:hAnsi="Arial"/>
          <w:sz w:val="19"/>
          <w:szCs w:val="19"/>
          <w:color w:val="auto"/>
        </w:rPr>
      </w:pPr>
      <w:r>
        <w:rPr>
          <w:rFonts w:ascii="Arial" w:cs="Arial" w:eastAsia="Arial" w:hAnsi="Arial"/>
          <w:sz w:val="19"/>
          <w:szCs w:val="19"/>
          <w:color w:val="auto"/>
        </w:rPr>
        <w:t>Exercise all voting and management rights of the Pledgors as to each Issuer, as applicable, or otherwise pertaining to the Pledged Collateral, and each Pledgor, forthwith upon the request of Agent, shall use its best efforts to secure, and cooperate with the efforts of Agent to secure (if not already secured by Agent), all the benefits of such voting and management rights.</w:t>
      </w:r>
    </w:p>
    <w:p>
      <w:pPr>
        <w:spacing w:after="0" w:line="170" w:lineRule="exact"/>
        <w:rPr>
          <w:rFonts w:ascii="Arial" w:cs="Arial" w:eastAsia="Arial" w:hAnsi="Arial"/>
          <w:sz w:val="19"/>
          <w:szCs w:val="19"/>
          <w:color w:val="auto"/>
        </w:rPr>
      </w:pPr>
    </w:p>
    <w:p>
      <w:pPr>
        <w:jc w:val="both"/>
        <w:ind w:left="-8" w:firstLine="1305"/>
        <w:spacing w:after="0" w:line="260" w:lineRule="auto"/>
        <w:tabs>
          <w:tab w:leader="none" w:pos="1688" w:val="left"/>
        </w:tabs>
        <w:numPr>
          <w:ilvl w:val="2"/>
          <w:numId w:val="143"/>
        </w:numPr>
        <w:rPr>
          <w:rFonts w:ascii="Arial" w:cs="Arial" w:eastAsia="Arial" w:hAnsi="Arial"/>
          <w:sz w:val="19"/>
          <w:szCs w:val="19"/>
          <w:color w:val="auto"/>
        </w:rPr>
      </w:pPr>
      <w:r>
        <w:rPr>
          <w:rFonts w:ascii="Arial" w:cs="Arial" w:eastAsia="Arial" w:hAnsi="Arial"/>
          <w:sz w:val="19"/>
          <w:szCs w:val="19"/>
          <w:color w:val="auto"/>
        </w:rPr>
        <w:t>Sell the Pledged Collateral in any manner permitted by the UCC, and upon any such sale of the Pledged Collateral, Agent may (i) bid for and purchase the Pledged Collateral and apply the expenses of such sale (including, without limitation, attorneys’ fees) as a credit against the purchase price, or (ii) apply the proceeds of any sale or sales to other persons or entities, in whatever order Agent in its sole discretion may decide, to the expenses of such sale (including, without limitation, attorneys’ fees), to the Obligations, and the remainder, if any, shall be paid to Pledgors or to such other person or entity legally entitled to payment of such remainder; and</w:t>
      </w:r>
    </w:p>
    <w:p>
      <w:pPr>
        <w:spacing w:after="0" w:line="180" w:lineRule="exact"/>
        <w:rPr>
          <w:rFonts w:ascii="Arial" w:cs="Arial" w:eastAsia="Arial" w:hAnsi="Arial"/>
          <w:sz w:val="19"/>
          <w:szCs w:val="19"/>
          <w:color w:val="auto"/>
        </w:rPr>
      </w:pPr>
    </w:p>
    <w:p>
      <w:pPr>
        <w:jc w:val="both"/>
        <w:ind w:left="-8" w:firstLine="1305"/>
        <w:spacing w:after="0" w:line="291" w:lineRule="auto"/>
        <w:tabs>
          <w:tab w:leader="none" w:pos="1693" w:val="left"/>
        </w:tabs>
        <w:numPr>
          <w:ilvl w:val="2"/>
          <w:numId w:val="143"/>
        </w:numPr>
        <w:rPr>
          <w:rFonts w:ascii="Arial" w:cs="Arial" w:eastAsia="Arial" w:hAnsi="Arial"/>
          <w:sz w:val="18"/>
          <w:szCs w:val="18"/>
          <w:color w:val="auto"/>
        </w:rPr>
      </w:pPr>
      <w:r>
        <w:rPr>
          <w:rFonts w:ascii="Arial" w:cs="Arial" w:eastAsia="Arial" w:hAnsi="Arial"/>
          <w:sz w:val="18"/>
          <w:szCs w:val="18"/>
          <w:color w:val="auto"/>
        </w:rPr>
        <w:t>Proceed by suit or suits in law or in equity or by any other appropriate proceeding or remedy to enforce the performance of any term, covenant, condition, or agreement contained in this Agreement, and institution of such a suit or suits shall not abrogate the rights of Agent to pursue any other remedies granted in this Agreement or to pursue any other remedy available to Agent either at law or in equity.</w:t>
      </w:r>
    </w:p>
    <w:p>
      <w:pPr>
        <w:spacing w:after="0" w:line="200" w:lineRule="exact"/>
        <w:rPr>
          <w:sz w:val="20"/>
          <w:szCs w:val="20"/>
          <w:color w:val="auto"/>
        </w:rPr>
      </w:pPr>
    </w:p>
    <w:p>
      <w:pPr>
        <w:spacing w:after="0" w:line="352"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12"/>
          </w:cols>
          <w:pgMar w:left="248" w:top="622" w:right="239" w:bottom="1440" w:gutter="0" w:footer="0" w:header="0"/>
        </w:sectPr>
      </w:pPr>
    </w:p>
    <w:bookmarkStart w:id="113" w:name="page114"/>
    <w:bookmarkEnd w:id="113"/>
    <w:p>
      <w:pPr>
        <w:jc w:val="both"/>
        <w:ind w:firstLine="648"/>
        <w:spacing w:after="0" w:line="244" w:lineRule="auto"/>
        <w:rPr>
          <w:sz w:val="20"/>
          <w:szCs w:val="20"/>
          <w:color w:val="auto"/>
        </w:rPr>
      </w:pPr>
      <w:r>
        <w:rPr>
          <w:rFonts w:ascii="Arial" w:cs="Arial" w:eastAsia="Arial" w:hAnsi="Arial"/>
          <w:sz w:val="20"/>
          <w:szCs w:val="20"/>
          <w:color w:val="auto"/>
        </w:rPr>
        <w:t>Agent shall have all of the rights and remedies of a secured party under the UCC and other applicable laws. All costs and expenses, including reasonable attorneys’ fees and expenses, incurred or paid by Agent in exercising or protecting any interest, right, power or remedy conferred by this Agreement, shall bear interest at a per annum rate of interest equal to the then highest rate of interest charged on any of the Obligations from the date of payment until repaid in full and shall, along with the interest thereon, constitute and become a part of the Obligations secured by this Agreement.</w:t>
      </w:r>
    </w:p>
    <w:p>
      <w:pPr>
        <w:spacing w:after="0" w:line="19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Each Pledgor hereby constitutes Agent as the attorney-in-fact of such Pledgor after an Event of Default has occurred and is continuing and to take such actions and execute such documents as Agent may deem appropriate in the exercise of the rights and powers granted to Agent in this Agreement, including, but not limited to, filling-in blanks in each Transfer Power to cause a transfer of any or all of the Pledged Collateral pursuant to a sale of such Pledged Collateral. The power of attorney granted hereby shall be irrevocable and coupled with an interest and shall terminate only upon the payment in full of the Obligations. Each Pledgor shall indemnify and hold Agent harmless for all losses, costs, damages, fees, and expenses suffered or incurred in connection with the exercise of this power of attorney and shall release Agent from any and all liability arising in connection with the exercise of this power of attorney.</w:t>
      </w:r>
    </w:p>
    <w:p>
      <w:pPr>
        <w:spacing w:after="0" w:line="196" w:lineRule="exact"/>
        <w:rPr>
          <w:sz w:val="20"/>
          <w:szCs w:val="20"/>
          <w:color w:val="auto"/>
        </w:rPr>
      </w:pPr>
    </w:p>
    <w:p>
      <w:pPr>
        <w:jc w:val="both"/>
        <w:ind w:firstLine="656"/>
        <w:spacing w:after="0" w:line="301" w:lineRule="auto"/>
        <w:tabs>
          <w:tab w:leader="none" w:pos="1058" w:val="left"/>
        </w:tabs>
        <w:numPr>
          <w:ilvl w:val="0"/>
          <w:numId w:val="144"/>
        </w:numPr>
        <w:rPr>
          <w:rFonts w:ascii="Arial" w:cs="Arial" w:eastAsia="Arial" w:hAnsi="Arial"/>
          <w:sz w:val="19"/>
          <w:szCs w:val="19"/>
          <w:b w:val="1"/>
          <w:bCs w:val="1"/>
          <w:color w:val="auto"/>
        </w:rPr>
      </w:pPr>
      <w:r>
        <w:rPr>
          <w:rFonts w:ascii="Arial" w:cs="Arial" w:eastAsia="Arial" w:hAnsi="Arial"/>
          <w:sz w:val="18"/>
          <w:szCs w:val="18"/>
          <w:u w:val="single" w:color="auto"/>
          <w:color w:val="auto"/>
        </w:rPr>
        <w:t>Performance by Agent</w:t>
      </w:r>
      <w:r>
        <w:rPr>
          <w:rFonts w:ascii="Arial" w:cs="Arial" w:eastAsia="Arial" w:hAnsi="Arial"/>
          <w:sz w:val="18"/>
          <w:szCs w:val="18"/>
          <w:color w:val="auto"/>
        </w:rPr>
        <w:t>. If any Pledgor shall fail to perform, observe or comply with any of the conditions, terms, or covenants contained in this Agreement or any of the other Financing Documents, Agent, without notice to or demand upon any Pledgor and without waiving or releasing any of the Obligations or any Event of Default, may (but shall be under no obligation to) at any time thereafter perform such conditions, terms or covenants for the account and at the expense of Pledgors, and may enter upon the premises of Pledgors for that purpose and take all such action on the premises as Agent may consider necessary or appropriate for such purpose. All sums paid or advanced by Agent in connection with the foregoing and all costs and expenses (including, without limitation, reasonable attorneys’ fees and expenses) incurred in connection with the foregoing, together with interest thereon at a per annum rate of interest equal to the then highest rate of interest charged on the principal of any of the Obligations, from the date of payment until repaid in full, shall be paid by Pledgors to Agent on demand and shall constitute and become a part of the Obligations secured by this Agreement.</w:t>
      </w:r>
    </w:p>
    <w:p>
      <w:pPr>
        <w:spacing w:after="0" w:line="188" w:lineRule="exact"/>
        <w:rPr>
          <w:rFonts w:ascii="Arial" w:cs="Arial" w:eastAsia="Arial" w:hAnsi="Arial"/>
          <w:sz w:val="19"/>
          <w:szCs w:val="19"/>
          <w:b w:val="1"/>
          <w:bCs w:val="1"/>
          <w:color w:val="auto"/>
        </w:rPr>
      </w:pPr>
    </w:p>
    <w:p>
      <w:pPr>
        <w:jc w:val="both"/>
        <w:ind w:firstLine="656"/>
        <w:spacing w:after="0" w:line="302" w:lineRule="auto"/>
        <w:tabs>
          <w:tab w:leader="none" w:pos="1193" w:val="left"/>
        </w:tabs>
        <w:numPr>
          <w:ilvl w:val="0"/>
          <w:numId w:val="144"/>
        </w:numPr>
        <w:rPr>
          <w:rFonts w:ascii="Arial" w:cs="Arial" w:eastAsia="Arial" w:hAnsi="Arial"/>
          <w:sz w:val="19"/>
          <w:szCs w:val="19"/>
          <w:b w:val="1"/>
          <w:bCs w:val="1"/>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Agent shall not in any way be responsible for the performance or discharge of, and Agent does not hereby undertake to perform or discharge of, any obligation, duty, responsibility, or liability of Pledgors in connection with the Pledged Collateral or otherwise. Pledgors hereby agree to indemnify Agent and hold Agent harmless from and against all losses, liabilities, damages, claims, or demands suffered or incurred by reason of this Agreement or by reason of any alleged responsibilities or undertakings on the part of Agent to perform or discharge any obligations, duties, responsibilities, or liabilities of Pledgors in connection with the Pledged Collateral or otherwise; provided, however, that the foregoing indemnity and agreement to hold harmless shall not apply to losses, liabilities, damages, claims, or demands suffered or incurred by reason of Agent’s own gross negligence or willful misconduct. Agent shall have no duty to collect any amounts due or to become due in connection with the Pledged Collateral or enforce or preserve any Pledgor’s rights under this Agreement.</w:t>
      </w:r>
    </w:p>
    <w:p>
      <w:pPr>
        <w:spacing w:after="0" w:line="184" w:lineRule="exact"/>
        <w:rPr>
          <w:rFonts w:ascii="Arial" w:cs="Arial" w:eastAsia="Arial" w:hAnsi="Arial"/>
          <w:sz w:val="19"/>
          <w:szCs w:val="19"/>
          <w:b w:val="1"/>
          <w:bCs w:val="1"/>
          <w:color w:val="auto"/>
        </w:rPr>
      </w:pPr>
    </w:p>
    <w:p>
      <w:pPr>
        <w:jc w:val="both"/>
        <w:ind w:firstLine="656"/>
        <w:spacing w:after="0" w:line="265" w:lineRule="auto"/>
        <w:tabs>
          <w:tab w:leader="none" w:pos="1113" w:val="left"/>
        </w:tabs>
        <w:numPr>
          <w:ilvl w:val="0"/>
          <w:numId w:val="144"/>
        </w:numPr>
        <w:rPr>
          <w:rFonts w:ascii="Arial" w:cs="Arial" w:eastAsia="Arial" w:hAnsi="Arial"/>
          <w:sz w:val="22"/>
          <w:szCs w:val="22"/>
          <w:b w:val="1"/>
          <w:bCs w:val="1"/>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Upon payment in full of the Obligations, and termination of any further obligation of Agent and Lenders to extend any credit to Borrowers under the Financing Documents, this Agreement shall terminate and Agent shall promptly execute appropriate documents to evidence such termination.</w:t>
      </w:r>
    </w:p>
    <w:p>
      <w:pPr>
        <w:spacing w:after="0" w:line="200" w:lineRule="exact"/>
        <w:rPr>
          <w:sz w:val="20"/>
          <w:szCs w:val="20"/>
          <w:color w:val="auto"/>
        </w:rPr>
      </w:pPr>
    </w:p>
    <w:p>
      <w:pPr>
        <w:spacing w:after="0" w:line="386"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22" w:right="239" w:bottom="1440" w:gutter="0" w:footer="0" w:header="0"/>
        </w:sectPr>
      </w:pPr>
    </w:p>
    <w:bookmarkStart w:id="114" w:name="page115"/>
    <w:bookmarkEnd w:id="114"/>
    <w:p>
      <w:pPr>
        <w:jc w:val="both"/>
        <w:ind w:left="-260" w:right="20" w:firstLine="656"/>
        <w:spacing w:after="0" w:line="265" w:lineRule="auto"/>
        <w:tabs>
          <w:tab w:leader="none" w:pos="933" w:val="left"/>
        </w:tabs>
        <w:numPr>
          <w:ilvl w:val="0"/>
          <w:numId w:val="145"/>
        </w:numPr>
        <w:rPr>
          <w:rFonts w:ascii="Arial" w:cs="Arial" w:eastAsia="Arial" w:hAnsi="Arial"/>
          <w:sz w:val="22"/>
          <w:szCs w:val="22"/>
          <w:b w:val="1"/>
          <w:bCs w:val="1"/>
          <w:color w:val="auto"/>
        </w:rPr>
      </w:pPr>
      <w:r>
        <w:rPr>
          <w:rFonts w:ascii="Arial" w:cs="Arial" w:eastAsia="Arial" w:hAnsi="Arial"/>
          <w:sz w:val="20"/>
          <w:szCs w:val="20"/>
          <w:u w:val="single" w:color="auto"/>
          <w:color w:val="auto"/>
        </w:rPr>
        <w:t>Release</w:t>
      </w:r>
      <w:r>
        <w:rPr>
          <w:rFonts w:ascii="Arial" w:cs="Arial" w:eastAsia="Arial" w:hAnsi="Arial"/>
          <w:sz w:val="20"/>
          <w:szCs w:val="20"/>
          <w:color w:val="auto"/>
        </w:rPr>
        <w:t>. Without prejudice to any of Agent’s rights under this Agreement, Agent may take or release other security for the payment or performance of the Obligations, may release any party primarily or secondarily liable for the Obligations, and may apply any other security held by Agent to the satisfaction of the Obligations.</w:t>
      </w:r>
    </w:p>
    <w:p>
      <w:pPr>
        <w:spacing w:after="0" w:line="212" w:lineRule="exact"/>
        <w:rPr>
          <w:rFonts w:ascii="Arial" w:cs="Arial" w:eastAsia="Arial" w:hAnsi="Arial"/>
          <w:sz w:val="22"/>
          <w:szCs w:val="22"/>
          <w:b w:val="1"/>
          <w:bCs w:val="1"/>
          <w:color w:val="auto"/>
        </w:rPr>
      </w:pPr>
    </w:p>
    <w:p>
      <w:pPr>
        <w:jc w:val="both"/>
        <w:ind w:left="-260" w:firstLine="656"/>
        <w:spacing w:after="0" w:line="283" w:lineRule="auto"/>
        <w:tabs>
          <w:tab w:leader="none" w:pos="865" w:val="left"/>
        </w:tabs>
        <w:numPr>
          <w:ilvl w:val="0"/>
          <w:numId w:val="145"/>
        </w:numPr>
        <w:rPr>
          <w:rFonts w:ascii="Arial" w:cs="Arial" w:eastAsia="Arial" w:hAnsi="Arial"/>
          <w:sz w:val="21"/>
          <w:szCs w:val="21"/>
          <w:b w:val="1"/>
          <w:bCs w:val="1"/>
          <w:color w:val="auto"/>
        </w:rPr>
      </w:pPr>
      <w:r>
        <w:rPr>
          <w:rFonts w:ascii="Arial" w:cs="Arial" w:eastAsia="Arial" w:hAnsi="Arial"/>
          <w:sz w:val="19"/>
          <w:szCs w:val="19"/>
          <w:u w:val="single" w:color="auto"/>
          <w:color w:val="auto"/>
        </w:rPr>
        <w:t>Pledgors’ Liability Absolute</w:t>
      </w:r>
      <w:r>
        <w:rPr>
          <w:rFonts w:ascii="Arial" w:cs="Arial" w:eastAsia="Arial" w:hAnsi="Arial"/>
          <w:sz w:val="19"/>
          <w:szCs w:val="19"/>
          <w:color w:val="auto"/>
        </w:rPr>
        <w:t>. Each Pledgor’s liability under this Agreement shall be direct and immediate and not conditional or contingent upon the pursuit of any remedies against such Pledgor or any other person, nor against other securities or liens available to Agent or Agent’s respective successors, assigns, or agents. Each Pledgor waives any and all rights to require that resort be had to any security or to any balance of any deposit account or credit on the books of Agent in favor of any other person.</w:t>
      </w:r>
    </w:p>
    <w:p>
      <w:pPr>
        <w:spacing w:after="0" w:line="198" w:lineRule="exact"/>
        <w:rPr>
          <w:rFonts w:ascii="Arial" w:cs="Arial" w:eastAsia="Arial" w:hAnsi="Arial"/>
          <w:sz w:val="21"/>
          <w:szCs w:val="21"/>
          <w:b w:val="1"/>
          <w:bCs w:val="1"/>
          <w:color w:val="auto"/>
        </w:rPr>
      </w:pPr>
    </w:p>
    <w:p>
      <w:pPr>
        <w:jc w:val="both"/>
        <w:ind w:left="-260" w:firstLine="656"/>
        <w:spacing w:after="0" w:line="266" w:lineRule="auto"/>
        <w:tabs>
          <w:tab w:leader="none" w:pos="879" w:val="left"/>
        </w:tabs>
        <w:numPr>
          <w:ilvl w:val="0"/>
          <w:numId w:val="145"/>
        </w:numPr>
        <w:rPr>
          <w:rFonts w:ascii="Arial" w:cs="Arial" w:eastAsia="Arial" w:hAnsi="Arial"/>
          <w:sz w:val="22"/>
          <w:szCs w:val="22"/>
          <w:b w:val="1"/>
          <w:bCs w:val="1"/>
          <w:color w:val="auto"/>
        </w:rPr>
      </w:pPr>
      <w:r>
        <w:rPr>
          <w:rFonts w:ascii="Arial" w:cs="Arial" w:eastAsia="Arial" w:hAnsi="Arial"/>
          <w:sz w:val="20"/>
          <w:szCs w:val="20"/>
          <w:u w:val="single" w:color="auto"/>
          <w:color w:val="auto"/>
        </w:rPr>
        <w:t>Preservation of Pledged Collateral</w:t>
      </w:r>
      <w:r>
        <w:rPr>
          <w:rFonts w:ascii="Arial" w:cs="Arial" w:eastAsia="Arial" w:hAnsi="Arial"/>
          <w:sz w:val="20"/>
          <w:szCs w:val="20"/>
          <w:color w:val="auto"/>
        </w:rPr>
        <w:t xml:space="preserve">. Agent shall be deemed to have exercised reasonable care in the custody and preservation of the Pledged Collateral and in preserving rights under this Agreement if Agent takes action for those purposes as Pledgors may reasonably request in writing,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failure to comply with any such request shall not, in and of itself, be deemed a failure to exercise reasonable care, and no failure by Agent to preserve or protect any rights with respect to the Pledged Collateral or to do any act with respect to the preservation of the Pledged Collateral not so requested by a Pledgor shall be deemed a failure to exercise reasonable care in the custody or preservation of the Pledged Collateral.</w:t>
      </w:r>
    </w:p>
    <w:p>
      <w:pPr>
        <w:spacing w:after="0" w:line="214" w:lineRule="exact"/>
        <w:rPr>
          <w:rFonts w:ascii="Arial" w:cs="Arial" w:eastAsia="Arial" w:hAnsi="Arial"/>
          <w:sz w:val="22"/>
          <w:szCs w:val="22"/>
          <w:b w:val="1"/>
          <w:bCs w:val="1"/>
          <w:color w:val="auto"/>
        </w:rPr>
      </w:pPr>
    </w:p>
    <w:p>
      <w:pPr>
        <w:jc w:val="both"/>
        <w:ind w:left="-260" w:firstLine="656"/>
        <w:spacing w:after="0" w:line="282" w:lineRule="auto"/>
        <w:tabs>
          <w:tab w:leader="none" w:pos="973" w:val="left"/>
        </w:tabs>
        <w:numPr>
          <w:ilvl w:val="0"/>
          <w:numId w:val="145"/>
        </w:numPr>
        <w:rPr>
          <w:rFonts w:ascii="Arial" w:cs="Arial" w:eastAsia="Arial" w:hAnsi="Arial"/>
          <w:sz w:val="21"/>
          <w:szCs w:val="21"/>
          <w:b w:val="1"/>
          <w:bCs w:val="1"/>
          <w:color w:val="auto"/>
        </w:rPr>
      </w:pPr>
      <w:r>
        <w:rPr>
          <w:rFonts w:ascii="Arial" w:cs="Arial" w:eastAsia="Arial" w:hAnsi="Arial"/>
          <w:sz w:val="19"/>
          <w:szCs w:val="19"/>
          <w:u w:val="single" w:color="auto"/>
          <w:color w:val="auto"/>
        </w:rPr>
        <w:t>Private Sale</w:t>
      </w:r>
      <w:r>
        <w:rPr>
          <w:rFonts w:ascii="Arial" w:cs="Arial" w:eastAsia="Arial" w:hAnsi="Arial"/>
          <w:sz w:val="19"/>
          <w:szCs w:val="19"/>
          <w:color w:val="auto"/>
        </w:rPr>
        <w:t>. Each Pledgor recognizes and acknowledges that Agent may be unable to effect a public sale of the Pledged Collateral by reason of certain provisions contained in the federal Securities Act of 1933, as amended, and applicable state securities laws and, under the circumstances then existing, may reasonably resort to a private sale to a restricted group of purchasers who will be obliged to agree, among other things, to acquire the Pledged Collateral for their own account for investment and not with a view to the distribution or resale of the Pledged Collateral. Each Pledgor agrees that a private sale so made may be at a price and on other terms less favorable to the seller than if the Pledged Collateral were sold at public sale and that Agent has no obligation to delay sale of the Pledged Collateral for the period of time necessary to permit any Pledgor, even if such Pledgor would agree to register or qualify the Pledged Collateral for public sale under the Securities Act of 1933, as amended, and applicable state securities laws. Each Pledgor agrees that a private sale made under the foregoing circumstances and otherwise in a commercially reasonable manner shall be deemed to have been made in a commercially reasonable manner under the UCC.</w:t>
      </w:r>
    </w:p>
    <w:p>
      <w:pPr>
        <w:spacing w:after="0" w:line="198" w:lineRule="exact"/>
        <w:rPr>
          <w:rFonts w:ascii="Arial" w:cs="Arial" w:eastAsia="Arial" w:hAnsi="Arial"/>
          <w:sz w:val="21"/>
          <w:szCs w:val="21"/>
          <w:b w:val="1"/>
          <w:bCs w:val="1"/>
          <w:color w:val="auto"/>
        </w:rPr>
      </w:pPr>
    </w:p>
    <w:p>
      <w:pPr>
        <w:ind w:left="840" w:hanging="444"/>
        <w:spacing w:after="0"/>
        <w:tabs>
          <w:tab w:leader="none" w:pos="840" w:val="left"/>
        </w:tabs>
        <w:numPr>
          <w:ilvl w:val="0"/>
          <w:numId w:val="145"/>
        </w:numPr>
        <w:rPr>
          <w:rFonts w:ascii="Arial" w:cs="Arial" w:eastAsia="Arial" w:hAnsi="Arial"/>
          <w:sz w:val="22"/>
          <w:szCs w:val="22"/>
          <w:b w:val="1"/>
          <w:bCs w:val="1"/>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8" w:lineRule="exact"/>
        <w:rPr>
          <w:rFonts w:ascii="Arial" w:cs="Arial" w:eastAsia="Arial" w:hAnsi="Arial"/>
          <w:sz w:val="22"/>
          <w:szCs w:val="22"/>
          <w:b w:val="1"/>
          <w:bCs w:val="1"/>
          <w:color w:val="auto"/>
        </w:rPr>
      </w:pPr>
    </w:p>
    <w:p>
      <w:pPr>
        <w:jc w:val="both"/>
        <w:ind w:left="-260" w:firstLine="1305"/>
        <w:spacing w:after="0" w:line="244" w:lineRule="auto"/>
        <w:tabs>
          <w:tab w:leader="none" w:pos="1477"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Final Agreement and Amendments</w:t>
      </w:r>
      <w:r>
        <w:rPr>
          <w:rFonts w:ascii="Arial" w:cs="Arial" w:eastAsia="Arial" w:hAnsi="Arial"/>
          <w:sz w:val="20"/>
          <w:szCs w:val="20"/>
          <w:color w:val="auto"/>
        </w:rPr>
        <w:t>. This Agreement, together with the other Financing Documents, constitutes the final and entire agreement and understanding of the parties and any term, condition, covenant or agreement not contained herein or therein is not a part of the agreement and understanding of the parties. Neither this Agreement, nor any term, condition, covenant or agreement hereof may be changed, waived, discharged or terminated except by an instrument in writing signed by the party against whom enforcement of the change, waiver, discharge or termination is sought.</w:t>
      </w:r>
    </w:p>
    <w:p>
      <w:pPr>
        <w:spacing w:after="0" w:line="194" w:lineRule="exact"/>
        <w:rPr>
          <w:rFonts w:ascii="Arial" w:cs="Arial" w:eastAsia="Arial" w:hAnsi="Arial"/>
          <w:sz w:val="20"/>
          <w:szCs w:val="20"/>
          <w:color w:val="auto"/>
        </w:rPr>
      </w:pPr>
    </w:p>
    <w:p>
      <w:pPr>
        <w:jc w:val="both"/>
        <w:ind w:left="-260" w:firstLine="1305"/>
        <w:spacing w:after="0" w:line="244" w:lineRule="auto"/>
        <w:tabs>
          <w:tab w:leader="none" w:pos="1488" w:val="left"/>
        </w:tabs>
        <w:numPr>
          <w:ilvl w:val="1"/>
          <w:numId w:val="145"/>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No party hereto shall be deemed to have waived the exercise of any right which it holds hereunder unless such waiver is made expressly and in writing (and, without limiting the generality of the foregoing, no delay or omission by any party hereto in exercising any such right shall be deemed a waiver of its future exercise). No such waiver made in any instance involving the exercise of any such right shall be deemed a waiver as to any other such instance, or any other such right. No single or partial exercise of any power or right shall preclude other or further exercise of the power or right or the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60"/>
          </w:cols>
          <w:pgMar w:left="500" w:top="1095" w:right="23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0"/>
          <w:szCs w:val="20"/>
          <w:color w:val="auto"/>
        </w:rPr>
        <w:t>exercise of any other power or right. No course of dealing between the parties hereto shall be construed as an amendment to this Agreement or a waiver of any provision of this Agreement. No notice to or demand on any Pledgor in any case shall thereby entitle such Pledgor to any other or further notice or demand in the same, similar or other circumstances.</w:t>
      </w:r>
    </w:p>
    <w:p>
      <w:pPr>
        <w:spacing w:after="0" w:line="186" w:lineRule="exact"/>
        <w:rPr>
          <w:sz w:val="20"/>
          <w:szCs w:val="20"/>
          <w:color w:val="auto"/>
        </w:rPr>
      </w:pPr>
    </w:p>
    <w:p>
      <w:pPr>
        <w:ind w:firstLine="1305"/>
        <w:spacing w:after="0" w:line="260" w:lineRule="auto"/>
        <w:tabs>
          <w:tab w:leader="none" w:pos="175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Sections, subsections, paragraphs and subparagraphs hereof are provided herein for and only for convenience of reference, and shall not be considered in construing their contents.</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Construction</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1293"/>
        <w:spacing w:after="0" w:line="327" w:lineRule="auto"/>
        <w:tabs>
          <w:tab w:leader="none" w:pos="2402" w:val="left"/>
        </w:tabs>
        <w:numPr>
          <w:ilvl w:val="1"/>
          <w:numId w:val="146"/>
        </w:numPr>
        <w:rPr>
          <w:rFonts w:ascii="Arial" w:cs="Arial" w:eastAsia="Arial" w:hAnsi="Arial"/>
          <w:sz w:val="18"/>
          <w:szCs w:val="18"/>
          <w:color w:val="auto"/>
        </w:rPr>
      </w:pPr>
      <w:r>
        <w:rPr>
          <w:rFonts w:ascii="Arial" w:cs="Arial" w:eastAsia="Arial" w:hAnsi="Arial"/>
          <w:sz w:val="17"/>
          <w:szCs w:val="17"/>
          <w:color w:val="auto"/>
        </w:rPr>
        <w:t>As used herein, all references made (i) in the neuter, masculine or feminine gender shall be deemed to have been made in all such genders, (ii) in the singular or plural number shall be deemed to have been made, respectively, in the plural or singular number as well, and (iii) to any Section, subsection, paragraph or subparagraph shall, unless therein expressly indicated to the contrary, be deemed to have been made to such Section, subsection, paragraph or subparagraph of this Agreement. The Recitals are incorporated herein as a substantive part of this Agreement and the parties hereto acknowledge that such Recitals are true and correct.</w:t>
      </w:r>
    </w:p>
    <w:p>
      <w:pPr>
        <w:spacing w:after="0" w:line="165" w:lineRule="exact"/>
        <w:rPr>
          <w:rFonts w:ascii="Arial" w:cs="Arial" w:eastAsia="Arial" w:hAnsi="Arial"/>
          <w:sz w:val="18"/>
          <w:szCs w:val="18"/>
          <w:color w:val="auto"/>
        </w:rPr>
      </w:pPr>
    </w:p>
    <w:p>
      <w:pPr>
        <w:jc w:val="both"/>
        <w:ind w:left="660" w:firstLine="1293"/>
        <w:spacing w:after="0" w:line="282" w:lineRule="auto"/>
        <w:tabs>
          <w:tab w:leader="none" w:pos="2389" w:val="left"/>
        </w:tabs>
        <w:numPr>
          <w:ilvl w:val="1"/>
          <w:numId w:val="146"/>
        </w:numPr>
        <w:rPr>
          <w:rFonts w:ascii="Arial" w:cs="Arial" w:eastAsia="Arial" w:hAnsi="Arial"/>
          <w:sz w:val="21"/>
          <w:szCs w:val="21"/>
          <w:color w:val="auto"/>
        </w:rPr>
      </w:pPr>
      <w:r>
        <w:rPr>
          <w:rFonts w:ascii="Arial" w:cs="Arial" w:eastAsia="Arial" w:hAnsi="Arial"/>
          <w:sz w:val="19"/>
          <w:szCs w:val="19"/>
          <w:color w:val="auto"/>
        </w:rPr>
        <w:t>The security interest is granted in conjunction with the security interest granted to Agent, for the ratable benefit of the Lenders, under the Credit Agreement. The rights and remedies of Agent with respect to the security interest granted hereby are in addition to those set forth in the Credit Agreement and the other Financing Documents, and those which are now or hereafter available to Agent as a matter of law or equity. Each right, power and remedy of Agent provided for herein or in the Credit Agreement or any of the Financing Documents, or now or hereafter existing at law or in equity shall be cumulative and concurrent and shall be in addition to every right, power or remedy provided for herein and the exercise by Agent of any one or more of the rights, powers or remedies provided for in this Agreement, the Credit Agreement or any of the other Financing Documents, or now or hereafter existing at law or in equity, shall not preclude the simultaneous or later exercise by any person, including Agent, of any or all other rights, powers or remedies. In the event of any conflict between any provision in this Agreement and a provision in the Credit Agreement, such provision of the Credit Agreement shall control.</w:t>
      </w:r>
    </w:p>
    <w:p>
      <w:pPr>
        <w:spacing w:after="0" w:line="174" w:lineRule="exact"/>
        <w:rPr>
          <w:rFonts w:ascii="Arial" w:cs="Arial" w:eastAsia="Arial" w:hAnsi="Arial"/>
          <w:sz w:val="21"/>
          <w:szCs w:val="21"/>
          <w:color w:val="auto"/>
        </w:rPr>
      </w:pPr>
    </w:p>
    <w:p>
      <w:pPr>
        <w:jc w:val="both"/>
        <w:ind w:firstLine="1305"/>
        <w:spacing w:after="0" w:line="243" w:lineRule="auto"/>
        <w:tabs>
          <w:tab w:leader="none" w:pos="1818"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shall be binding upon and shall inure to the benefit of the parties hereto and their respective heirs, personal representatives, successors and assigns hereunder. In the event of any assignment or transfer by Agent of any of any Pledgor’s obligations under the Financing Documents or the collateral therefor, Agent thereafter shall be fully discharged from any responsibility with respect to such collateral so assigned or transferred, but Agent shall retain all rights and powers given by this Agreement with respect to any of any Pledgor’s obligations under the Financing Documents or collateral not so assigned or transferred. No Pledgor shall have any right to assign or delegate its rights or obligations hereunder.</w:t>
      </w:r>
    </w:p>
    <w:p>
      <w:pPr>
        <w:spacing w:after="0" w:line="196" w:lineRule="exact"/>
        <w:rPr>
          <w:rFonts w:ascii="Arial" w:cs="Arial" w:eastAsia="Arial" w:hAnsi="Arial"/>
          <w:sz w:val="20"/>
          <w:szCs w:val="20"/>
          <w:color w:val="auto"/>
        </w:rPr>
      </w:pPr>
    </w:p>
    <w:p>
      <w:pPr>
        <w:jc w:val="both"/>
        <w:ind w:firstLine="1305"/>
        <w:spacing w:after="0" w:line="244" w:lineRule="auto"/>
        <w:tabs>
          <w:tab w:leader="none" w:pos="1715"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term, provision, covenant or condition of this Agreement or the application of such term, provision, covenant or condition to any party or circumstance shall be found by a court of competent jurisdiction to be, to any extent, invalid or unenforceable, the remainder of this Agreement and the application of such term, provision, covenant, or condition to parties or circumstances other than those as to which it is held invalid or unenforceable, shall not be affected thereby, and each term, provision, covenant or condition shall be valid and enforced to the fullest extent permitted by law.</w:t>
      </w:r>
    </w:p>
    <w:p>
      <w:pPr>
        <w:spacing w:after="0" w:line="200" w:lineRule="exact"/>
        <w:rPr>
          <w:sz w:val="20"/>
          <w:szCs w:val="20"/>
          <w:color w:val="auto"/>
        </w:rPr>
      </w:pPr>
    </w:p>
    <w:p>
      <w:pPr>
        <w:spacing w:after="0" w:line="396"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22" w:right="239" w:bottom="1440" w:gutter="0" w:footer="0" w:header="0"/>
        </w:sectPr>
      </w:pPr>
    </w:p>
    <w:bookmarkStart w:id="116" w:name="page117"/>
    <w:bookmarkEnd w:id="116"/>
    <w:p>
      <w:pPr>
        <w:ind w:left="-260" w:firstLine="1305"/>
        <w:spacing w:after="0" w:line="316" w:lineRule="auto"/>
        <w:tabs>
          <w:tab w:leader="none" w:pos="1447"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or permitted hereunder shall be given and shall become effective as provided in </w:t>
      </w:r>
      <w:r>
        <w:rPr>
          <w:rFonts w:ascii="Arial" w:cs="Arial" w:eastAsia="Arial" w:hAnsi="Arial"/>
          <w:sz w:val="18"/>
          <w:szCs w:val="18"/>
          <w:u w:val="single" w:color="auto"/>
          <w:color w:val="auto"/>
        </w:rPr>
        <w:t>Section 12.3</w:t>
      </w:r>
      <w:r>
        <w:rPr>
          <w:rFonts w:ascii="Arial" w:cs="Arial" w:eastAsia="Arial" w:hAnsi="Arial"/>
          <w:sz w:val="18"/>
          <w:szCs w:val="18"/>
          <w:color w:val="auto"/>
        </w:rPr>
        <w:t xml:space="preserve"> of the Credit Agreement. All notices to Pledgors shall be addressed in accordance with the information provided on the signature page hereto.</w:t>
      </w:r>
    </w:p>
    <w:p>
      <w:pPr>
        <w:spacing w:after="0" w:line="130" w:lineRule="exact"/>
        <w:rPr>
          <w:rFonts w:ascii="Arial" w:cs="Arial" w:eastAsia="Arial" w:hAnsi="Arial"/>
          <w:sz w:val="18"/>
          <w:szCs w:val="18"/>
          <w:color w:val="auto"/>
        </w:rPr>
      </w:pPr>
    </w:p>
    <w:p>
      <w:pPr>
        <w:jc w:val="both"/>
        <w:ind w:left="-260" w:firstLine="1305"/>
        <w:spacing w:after="0" w:line="244" w:lineRule="auto"/>
        <w:tabs>
          <w:tab w:leader="none" w:pos="1474"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Remedies Cumulative</w:t>
      </w:r>
      <w:r>
        <w:rPr>
          <w:rFonts w:ascii="Arial" w:cs="Arial" w:eastAsia="Arial" w:hAnsi="Arial"/>
          <w:sz w:val="20"/>
          <w:szCs w:val="20"/>
          <w:color w:val="auto"/>
        </w:rPr>
        <w:t>. Each right, power and remedy of Agent as provided for in this Agreement, or in any of the other Financing Documents or now or hereafter existing by law, shall be cumulative and concurrent and shall be in addition to every other right, power or remedy provided for in this Agreement, or in any of the other Financing Documents now or hereafter existing by law, and the exercise or beginning of the exercise by Agent of any one or more of such rights, powers or remedies shall not preclude the later exercise by Agent of any other rights, powers or remedies.</w:t>
      </w:r>
    </w:p>
    <w:p>
      <w:pPr>
        <w:spacing w:after="0" w:line="194" w:lineRule="exact"/>
        <w:rPr>
          <w:rFonts w:ascii="Arial" w:cs="Arial" w:eastAsia="Arial" w:hAnsi="Arial"/>
          <w:sz w:val="20"/>
          <w:szCs w:val="20"/>
          <w:color w:val="auto"/>
        </w:rPr>
      </w:pPr>
    </w:p>
    <w:p>
      <w:pPr>
        <w:jc w:val="both"/>
        <w:ind w:left="-260" w:firstLine="1305"/>
        <w:spacing w:after="0" w:line="244" w:lineRule="auto"/>
        <w:tabs>
          <w:tab w:leader="none" w:pos="1444"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Time of the Essence; Survival; Joint and Several Liability</w:t>
      </w:r>
      <w:r>
        <w:rPr>
          <w:rFonts w:ascii="Arial" w:cs="Arial" w:eastAsia="Arial" w:hAnsi="Arial"/>
          <w:sz w:val="20"/>
          <w:szCs w:val="20"/>
          <w:color w:val="auto"/>
        </w:rPr>
        <w:t>. Time is of the essence of this Agreement and each and every term, covenant and condition contained herein. All covenants, agreements, representations and warranties made in this Agreement or in any of the other Financing Documents shall continue in full force and effect so long as any of the obligations of any party under the Financing Documents (other than Agent) remain outstanding. Each person or entity constituting a Pledgor shall be jointly and severally liable for all of the obligations of Pledgors under this Agreement.</w:t>
      </w:r>
    </w:p>
    <w:p>
      <w:pPr>
        <w:spacing w:after="0" w:line="194" w:lineRule="exact"/>
        <w:rPr>
          <w:rFonts w:ascii="Arial" w:cs="Arial" w:eastAsia="Arial" w:hAnsi="Arial"/>
          <w:sz w:val="20"/>
          <w:szCs w:val="20"/>
          <w:color w:val="auto"/>
        </w:rPr>
      </w:pPr>
    </w:p>
    <w:p>
      <w:pPr>
        <w:jc w:val="both"/>
        <w:ind w:left="-260" w:firstLine="1305"/>
        <w:spacing w:after="0" w:line="282" w:lineRule="auto"/>
        <w:tabs>
          <w:tab w:leader="none" w:pos="1444"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Pledgor hereby agrees that at any time and from time to time, at the expense of such Pledgor, such Pledgor will promptly execute and deliver all further instruments and documents, and take all further action, that may be necessary or that Agent may reasonably request, in order to perfect and protect any security interest granted or purported to be granted hereby, or to enable Agent or any of its agents to exercise and enforce its rights and remedies under this Agreement with respect to any portion of such collateral.</w:t>
      </w:r>
    </w:p>
    <w:p>
      <w:pPr>
        <w:spacing w:after="0" w:line="161" w:lineRule="exact"/>
        <w:rPr>
          <w:rFonts w:ascii="Arial" w:cs="Arial" w:eastAsia="Arial" w:hAnsi="Arial"/>
          <w:sz w:val="18"/>
          <w:szCs w:val="18"/>
          <w:color w:val="auto"/>
        </w:rPr>
      </w:pPr>
    </w:p>
    <w:p>
      <w:pPr>
        <w:jc w:val="both"/>
        <w:ind w:left="-260" w:firstLine="1305"/>
        <w:spacing w:after="0" w:line="246" w:lineRule="auto"/>
        <w:tabs>
          <w:tab w:leader="none" w:pos="1447"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considered to be an original, but all of which shall constitute one in the same instrument. This Agreement may be executed and delivered by the signing and delivery of this Agreement with original signatures or by facsimile or pdf copy. As used in this Agreement, the term “this Agreement” shall include all attachments, exhibits, schedules, riders and addenda.</w:t>
      </w:r>
    </w:p>
    <w:p>
      <w:pPr>
        <w:spacing w:after="0" w:line="191" w:lineRule="exact"/>
        <w:rPr>
          <w:rFonts w:ascii="Arial" w:cs="Arial" w:eastAsia="Arial" w:hAnsi="Arial"/>
          <w:sz w:val="20"/>
          <w:szCs w:val="20"/>
          <w:color w:val="auto"/>
        </w:rPr>
      </w:pPr>
    </w:p>
    <w:p>
      <w:pPr>
        <w:jc w:val="both"/>
        <w:ind w:left="-260" w:firstLine="1305"/>
        <w:spacing w:after="0" w:line="257" w:lineRule="auto"/>
        <w:tabs>
          <w:tab w:leader="none" w:pos="141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Costs</w:t>
      </w:r>
      <w:r>
        <w:rPr>
          <w:rFonts w:ascii="Arial" w:cs="Arial" w:eastAsia="Arial" w:hAnsi="Arial"/>
          <w:sz w:val="19"/>
          <w:szCs w:val="19"/>
          <w:color w:val="auto"/>
        </w:rPr>
        <w:t>. Pledgors. shall be responsible for the payment of any and all reasonable fees, costs and expenses which Agent may incur by reason of this Agreement, including, but not limited to, the following: (i) any taxes of any kind related to any property or interests assigned or pledged hereunder; (ii) expenses incurred in filing public notices relating to any property or interests assigned or pledged hereunder; and (iii) any and all costs, expenses and fees (including, without limitation, reasonable attorneys’ fees and expenses and court costs and fees), whether or not litigation is commenced, incurred by Agent in protecting, insuring, maintaining, preserving, attaching, perfecting, enforcing, collecting or foreclosing upon any Lien, security interest, right or privilege granted to Agent or any obligation of Pledgors under this Agreement, whether through judicial proceedings or otherwise, or in defending or prosecuting any actions or proceedings arising out of or related to this Agreement or any property or interests assigned or pledged hereunder.</w:t>
      </w:r>
    </w:p>
    <w:p>
      <w:pPr>
        <w:spacing w:after="0" w:line="181" w:lineRule="exact"/>
        <w:rPr>
          <w:rFonts w:ascii="Arial" w:cs="Arial" w:eastAsia="Arial" w:hAnsi="Arial"/>
          <w:sz w:val="19"/>
          <w:szCs w:val="19"/>
          <w:color w:val="auto"/>
        </w:rPr>
      </w:pPr>
    </w:p>
    <w:p>
      <w:pPr>
        <w:ind w:left="-260" w:right="20" w:firstLine="1305"/>
        <w:spacing w:after="0" w:line="260" w:lineRule="auto"/>
        <w:tabs>
          <w:tab w:leader="none" w:pos="1624"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No Defenses</w:t>
      </w:r>
      <w:r>
        <w:rPr>
          <w:rFonts w:ascii="Arial" w:cs="Arial" w:eastAsia="Arial" w:hAnsi="Arial"/>
          <w:sz w:val="20"/>
          <w:szCs w:val="20"/>
          <w:color w:val="auto"/>
        </w:rPr>
        <w:t>. Each Pledgor’s obligations under this Agreement shall not be subject to any set-off, counterclaim or defense to payment that such Pledgor now has or may have in the future.</w:t>
      </w:r>
    </w:p>
    <w:p>
      <w:pPr>
        <w:spacing w:after="0" w:line="204" w:lineRule="exact"/>
        <w:rPr>
          <w:sz w:val="20"/>
          <w:szCs w:val="20"/>
          <w:color w:val="auto"/>
        </w:rPr>
      </w:pPr>
    </w:p>
    <w:p>
      <w:pPr>
        <w:jc w:val="both"/>
        <w:ind w:left="-260" w:firstLine="1305"/>
        <w:spacing w:after="0" w:line="338" w:lineRule="auto"/>
        <w:tabs>
          <w:tab w:leader="none" w:pos="1578" w:val="left"/>
        </w:tabs>
        <w:numPr>
          <w:ilvl w:val="0"/>
          <w:numId w:val="148"/>
        </w:numPr>
        <w:rPr>
          <w:rFonts w:ascii="Arial" w:cs="Arial" w:eastAsia="Arial" w:hAnsi="Arial"/>
          <w:sz w:val="18"/>
          <w:szCs w:val="18"/>
          <w:color w:val="auto"/>
        </w:rPr>
      </w:pPr>
      <w:r>
        <w:rPr>
          <w:rFonts w:ascii="Arial" w:cs="Arial" w:eastAsia="Arial" w:hAnsi="Arial"/>
          <w:sz w:val="17"/>
          <w:szCs w:val="17"/>
          <w:u w:val="single" w:color="auto"/>
          <w:color w:val="auto"/>
        </w:rPr>
        <w:t>Advances of Proceeds of the Credit Extension</w:t>
      </w:r>
      <w:r>
        <w:rPr>
          <w:rFonts w:ascii="Arial" w:cs="Arial" w:eastAsia="Arial" w:hAnsi="Arial"/>
          <w:sz w:val="17"/>
          <w:szCs w:val="17"/>
          <w:color w:val="auto"/>
        </w:rPr>
        <w:t>. Agent shall be entitled to honor any request made by Borrower for advances of the credit extension proceeds and shall have no obligation to see to the proper disposition of such advances. Pledgor agrees that his obligations hereunder shall not be released or affected by reason of any improper disposition by Borrower of such credit extension proceeds.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60"/>
          </w:cols>
          <w:pgMar w:left="500" w:top="622" w:right="239" w:bottom="1440" w:gutter="0" w:footer="0" w:header="0"/>
        </w:sectPr>
      </w:pPr>
    </w:p>
    <w:bookmarkStart w:id="117" w:name="page118"/>
    <w:bookmarkEnd w:id="117"/>
    <w:p>
      <w:pPr>
        <w:ind w:left="1740" w:hanging="435"/>
        <w:spacing w:after="0"/>
        <w:tabs>
          <w:tab w:leader="none" w:pos="1740" w:val="left"/>
        </w:tabs>
        <w:numPr>
          <w:ilvl w:val="0"/>
          <w:numId w:val="149"/>
        </w:numPr>
        <w:rPr>
          <w:rFonts w:ascii="Arial" w:cs="Arial" w:eastAsia="Arial" w:hAnsi="Arial"/>
          <w:sz w:val="22"/>
          <w:szCs w:val="22"/>
          <w:color w:val="auto"/>
        </w:rPr>
      </w:pPr>
      <w:r>
        <w:rPr>
          <w:rFonts w:ascii="Arial" w:cs="Arial" w:eastAsia="Arial" w:hAnsi="Arial"/>
          <w:sz w:val="20"/>
          <w:szCs w:val="20"/>
          <w:b w:val="1"/>
          <w:bCs w:val="1"/>
          <w:u w:val="single" w:color="auto"/>
          <w:color w:val="auto"/>
        </w:rPr>
        <w:t>GOVERNING LAW; SUBMISSION TO JURISDICTION</w:t>
      </w:r>
      <w:r>
        <w:rPr>
          <w:rFonts w:ascii="Arial" w:cs="Arial" w:eastAsia="Arial" w:hAnsi="Arial"/>
          <w:sz w:val="20"/>
          <w:szCs w:val="20"/>
          <w:b w:val="1"/>
          <w:bCs w:val="1"/>
          <w:color w:val="auto"/>
        </w:rPr>
        <w:t>.</w:t>
      </w:r>
    </w:p>
    <w:p>
      <w:pPr>
        <w:spacing w:after="0" w:line="239" w:lineRule="exact"/>
        <w:rPr>
          <w:rFonts w:ascii="Arial" w:cs="Arial" w:eastAsia="Arial" w:hAnsi="Arial"/>
          <w:sz w:val="22"/>
          <w:szCs w:val="22"/>
          <w:color w:val="auto"/>
        </w:rPr>
      </w:pPr>
    </w:p>
    <w:p>
      <w:pPr>
        <w:jc w:val="both"/>
        <w:ind w:left="660" w:firstLine="1293"/>
        <w:spacing w:after="0" w:line="283" w:lineRule="auto"/>
        <w:tabs>
          <w:tab w:leader="none" w:pos="2483" w:val="left"/>
        </w:tabs>
        <w:numPr>
          <w:ilvl w:val="1"/>
          <w:numId w:val="149"/>
        </w:numPr>
        <w:rPr>
          <w:rFonts w:ascii="Arial" w:cs="Arial" w:eastAsia="Arial" w:hAnsi="Arial"/>
          <w:sz w:val="21"/>
          <w:szCs w:val="21"/>
          <w:color w:val="auto"/>
        </w:rPr>
      </w:pPr>
      <w:r>
        <w:rPr>
          <w:rFonts w:ascii="Arial" w:cs="Arial" w:eastAsia="Arial" w:hAnsi="Arial"/>
          <w:sz w:val="19"/>
          <w:szCs w:val="19"/>
          <w:color w:val="auto"/>
        </w:rPr>
        <w:t>THIS AGREEMENT AND ALL DISPUTES AND OTHER MATTERS RELATING HERETO (WHETHER SOUNDING IN CONTRACT LAW, TORT LAW OR OTHERWISE), SHALL BE GOVERNED BY, AND SHALL BE CONSTRUED AND ENFORCED IN ACCORDANCE WITH, THE LAWS OF THE STATE OF NEW YORK, WITHOUT REGARD TO CONFLICTS OF LAWS PRINCIPLES (OTHER THAN SECTION 5-1401 OF THE GENERAL OBLIGATIONS LAW).</w:t>
      </w:r>
    </w:p>
    <w:p>
      <w:pPr>
        <w:spacing w:after="0" w:line="198" w:lineRule="exact"/>
        <w:rPr>
          <w:rFonts w:ascii="Arial" w:cs="Arial" w:eastAsia="Arial" w:hAnsi="Arial"/>
          <w:sz w:val="21"/>
          <w:szCs w:val="21"/>
          <w:color w:val="auto"/>
        </w:rPr>
      </w:pPr>
    </w:p>
    <w:p>
      <w:pPr>
        <w:jc w:val="both"/>
        <w:ind w:left="660" w:firstLine="1293"/>
        <w:spacing w:after="0" w:line="282" w:lineRule="auto"/>
        <w:tabs>
          <w:tab w:leader="none" w:pos="2402" w:val="left"/>
        </w:tabs>
        <w:numPr>
          <w:ilvl w:val="1"/>
          <w:numId w:val="149"/>
        </w:numPr>
        <w:rPr>
          <w:rFonts w:ascii="Arial" w:cs="Arial" w:eastAsia="Arial" w:hAnsi="Arial"/>
          <w:sz w:val="21"/>
          <w:szCs w:val="21"/>
          <w:color w:val="auto"/>
        </w:rPr>
      </w:pPr>
      <w:r>
        <w:rPr>
          <w:rFonts w:ascii="Arial" w:cs="Arial" w:eastAsia="Arial" w:hAnsi="Arial"/>
          <w:sz w:val="19"/>
          <w:szCs w:val="19"/>
          <w:color w:val="auto"/>
        </w:rPr>
        <w:t>EACH PLEDGOR HEREBY CONSENTS TO THE JURISDICTION OF ANY STATE OR FEDERAL COURT LOCATED THE STATE OF NEW YORK IN THE CITY OF NEW YORK, BOROUGH OF MANHATTAN, AND IRREVOCABLY AGREES THAT, SUBJECT TO AGENT’S ELECTION, ALL ACTIONS OR PROCEEDINGS ARISING OUT OF OR RELATING TO THIS AGREEMENT SHALL BE LITIGATED IN SUCH COURTS. EACH PLEDGOR EXPRESSLY SUBMITS AND CONSENTS TO THE JURISDICTION OF THE AFORESAID COURTS AND WAIVES ANY DEFENSE OF FORUM NON CONVENIENS. EACH PLEDGOR HEREBY WAIVES PERSONAL SERVICE OF ANY AND ALL PROCESS AND AGREES THAT ALL SUCH SERVICE OF PROCESS MAY BE MADE UPON SUCH BORROWER BY CERTIFIED OR REGISTERED MAIL, RETURN RECEIPT REQUESTED, ADDRESSED TO SUCH PLEDGOR AT THE ADDRESS SET FORTH IN THIS AGREEMENT AND SERVICE SO MADE SHALL BE COMPLETE TEN (10) DAYS AFTER THE SAME HAS BEEN POSTED</w:t>
      </w:r>
      <w:r>
        <w:rPr>
          <w:rFonts w:ascii="Arial" w:cs="Arial" w:eastAsia="Arial" w:hAnsi="Arial"/>
          <w:sz w:val="19"/>
          <w:szCs w:val="19"/>
          <w:b w:val="1"/>
          <w:bCs w:val="1"/>
          <w:color w:val="auto"/>
        </w:rPr>
        <w:t>. )</w:t>
      </w:r>
    </w:p>
    <w:p>
      <w:pPr>
        <w:spacing w:after="0" w:line="195" w:lineRule="exact"/>
        <w:rPr>
          <w:rFonts w:ascii="Arial" w:cs="Arial" w:eastAsia="Arial" w:hAnsi="Arial"/>
          <w:sz w:val="21"/>
          <w:szCs w:val="21"/>
          <w:color w:val="auto"/>
        </w:rPr>
      </w:pPr>
    </w:p>
    <w:p>
      <w:pPr>
        <w:jc w:val="both"/>
        <w:ind w:firstLine="1305"/>
        <w:spacing w:after="0" w:line="283" w:lineRule="auto"/>
        <w:tabs>
          <w:tab w:leader="none" w:pos="1716" w:val="left"/>
        </w:tabs>
        <w:numPr>
          <w:ilvl w:val="0"/>
          <w:numId w:val="149"/>
        </w:numPr>
        <w:rPr>
          <w:rFonts w:ascii="Arial" w:cs="Arial" w:eastAsia="Arial" w:hAnsi="Arial"/>
          <w:sz w:val="21"/>
          <w:szCs w:val="21"/>
          <w:color w:val="auto"/>
        </w:rPr>
      </w:pPr>
      <w:r>
        <w:rPr>
          <w:rFonts w:ascii="Arial" w:cs="Arial" w:eastAsia="Arial" w:hAnsi="Arial"/>
          <w:sz w:val="19"/>
          <w:szCs w:val="19"/>
          <w:b w:val="1"/>
          <w:bCs w:val="1"/>
          <w:u w:val="single" w:color="auto"/>
          <w:color w:val="auto"/>
        </w:rPr>
        <w:t>WAIVER OF JURY TRIAL</w:t>
      </w:r>
      <w:r>
        <w:rPr>
          <w:rFonts w:ascii="Arial" w:cs="Arial" w:eastAsia="Arial" w:hAnsi="Arial"/>
          <w:sz w:val="19"/>
          <w:szCs w:val="19"/>
          <w:b w:val="1"/>
          <w:bCs w:val="1"/>
          <w:color w:val="auto"/>
        </w:rPr>
        <w:t xml:space="preserve">. </w:t>
      </w:r>
      <w:r>
        <w:rPr>
          <w:rFonts w:ascii="Arial" w:cs="Arial" w:eastAsia="Arial" w:hAnsi="Arial"/>
          <w:sz w:val="19"/>
          <w:szCs w:val="19"/>
          <w:color w:val="auto"/>
        </w:rPr>
        <w:t>EACH PLEDGOR AND AGENT HEREBY IRREVOCABLY WAIVES ANY AND ALL</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TRIAL BY JURY IN ANY LEGAL ACTION OR PROCEEDING ARISING OUT OF OR RELATING TO THIS AGREEMENT OR THE TRANSACTIONS CONTEMPLATED HEREBY AND AGREES THAT ANY SUCH ACTION OR PROCEEDING SHALL BE TRIED BEFORE A COURT AND NOT BEFORE A JURY. EACH PLEDGOR AND AGENT ACKNOWLEDGES THAT THIS WAIVER IS A MATERIAL INDUCEMENT TO ENTER INTO A BUSINESS RELATIONSHIP, THAT EACH HAS RELIED ON THE WAIVER IN ENTERING INTO THIS AGREEMENT AND THE OTHER FINANCING DOCUMENTS, AND THAT EACH WILL CONTINUE TO RELY ON THIS WAIVER IN THEIR RELATED FUTURE DEALINGS. EACH PLEDGOR AND AGENT WARRANTS AND REPRESENTS THAT IT HAS HAD THE OPPORTUNITY OF REVIEWING THIS JURY WAIVER WITH LEGAL COUNSEL, AND THAT IT KNOWINGLY AND VOLUNTARILY WAIVES ITS JURY TRIAL RIGHTS.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6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43" w:right="239" w:bottom="1440" w:gutter="0" w:footer="0" w:header="0"/>
        </w:sectPr>
      </w:pPr>
    </w:p>
    <w:bookmarkStart w:id="118" w:name="page119"/>
    <w:bookmarkEnd w:id="118"/>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intending to be legally bound, each of the parties has caused this Agreement to be executed as of the day</w:t>
      </w:r>
      <w:r>
        <w:rPr>
          <w:rFonts w:ascii="Arial" w:cs="Arial" w:eastAsia="Arial" w:hAnsi="Arial"/>
          <w:sz w:val="20"/>
          <w:szCs w:val="20"/>
          <w:b w:val="1"/>
          <w:bCs w:val="1"/>
          <w:color w:val="auto"/>
        </w:rPr>
        <w:t xml:space="preserve"> </w:t>
      </w:r>
      <w:r>
        <w:rPr>
          <w:rFonts w:ascii="Arial" w:cs="Arial" w:eastAsia="Arial" w:hAnsi="Arial"/>
          <w:sz w:val="20"/>
          <w:szCs w:val="20"/>
          <w:color w:val="auto"/>
        </w:rPr>
        <w:t>and year first above mentioned.</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6020" w:val="left"/>
        </w:tabs>
        <w:rPr>
          <w:sz w:val="20"/>
          <w:szCs w:val="20"/>
          <w:color w:val="auto"/>
        </w:rPr>
      </w:pPr>
      <w:r>
        <w:rPr>
          <w:rFonts w:ascii="Arial" w:cs="Arial" w:eastAsia="Arial" w:hAnsi="Arial"/>
          <w:sz w:val="20"/>
          <w:szCs w:val="20"/>
          <w:b w:val="1"/>
          <w:bCs w:val="1"/>
          <w:color w:val="auto"/>
        </w:rPr>
        <w:t>PLEDGORS:</w:t>
      </w:r>
      <w:r>
        <w:rPr>
          <w:sz w:val="20"/>
          <w:szCs w:val="20"/>
          <w:color w:val="auto"/>
        </w:rPr>
        <w:tab/>
      </w:r>
      <w:r>
        <w:rPr>
          <w:rFonts w:ascii="Arial" w:cs="Arial" w:eastAsia="Arial" w:hAnsi="Arial"/>
          <w:sz w:val="20"/>
          <w:szCs w:val="20"/>
          <w:b w:val="1"/>
          <w:bCs w:val="1"/>
          <w:color w:val="auto"/>
        </w:rPr>
        <w:t>PTC THERAPEUTICS, INC.</w:t>
      </w:r>
    </w:p>
    <w:p>
      <w:pPr>
        <w:spacing w:after="0" w:line="23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By: /s/ Mark E. Boulding</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Name: Mark E. Boulding</w:t>
      </w:r>
    </w:p>
    <w:p>
      <w:pPr>
        <w:ind w:left="6040"/>
        <w:spacing w:after="0"/>
        <w:rPr>
          <w:sz w:val="20"/>
          <w:szCs w:val="20"/>
          <w:color w:val="auto"/>
        </w:rPr>
      </w:pPr>
      <w:r>
        <w:rPr>
          <w:rFonts w:ascii="Arial" w:cs="Arial" w:eastAsia="Arial" w:hAnsi="Arial"/>
          <w:sz w:val="20"/>
          <w:szCs w:val="20"/>
          <w:color w:val="auto"/>
        </w:rPr>
        <w:t>Title: Executive Vice President, Chief Legal Officer</w:t>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Pledgor Contact Information:</w:t>
      </w:r>
    </w:p>
    <w:p>
      <w:pPr>
        <w:spacing w:after="0" w:line="229" w:lineRule="exact"/>
        <w:rPr>
          <w:sz w:val="20"/>
          <w:szCs w:val="20"/>
          <w:color w:val="auto"/>
        </w:rPr>
      </w:pPr>
    </w:p>
    <w:p>
      <w:pPr>
        <w:ind w:left="604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 100 Corporate Court, South Plainfield, NJ 07080</w:t>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20"/>
          <w:szCs w:val="20"/>
          <w:color w:val="auto"/>
        </w:rPr>
        <w:t>Attn: Mark E. Boulding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[Signatures Continue on Following Page]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w:t>
      </w:r>
    </w:p>
    <w:p>
      <w:pPr>
        <w:sectPr>
          <w:pgSz w:w="11900" w:h="16838" w:orient="portrait"/>
          <w:cols w:equalWidth="0" w:num="1">
            <w:col w:w="11400"/>
          </w:cols>
          <w:pgMar w:left="240" w:top="616" w:right="259" w:bottom="1440" w:gutter="0" w:footer="0" w:header="0"/>
        </w:sectPr>
      </w:pPr>
    </w:p>
    <w:bookmarkStart w:id="119" w:name="page120"/>
    <w:bookmarkEnd w:id="119"/>
    <w:p>
      <w:pPr>
        <w:spacing w:after="0"/>
        <w:rPr>
          <w:sz w:val="20"/>
          <w:szCs w:val="20"/>
          <w:color w:val="auto"/>
        </w:rPr>
      </w:pPr>
      <w:r>
        <w:rPr>
          <w:rFonts w:ascii="Arial" w:cs="Arial" w:eastAsia="Arial" w:hAnsi="Arial"/>
          <w:sz w:val="20"/>
          <w:szCs w:val="20"/>
          <w:b w:val="1"/>
          <w:bCs w:val="1"/>
          <w:color w:val="auto"/>
        </w:rPr>
        <w:t>ACKNOWLEDGED AND AGREED</w:t>
      </w:r>
      <w:r>
        <w:rPr>
          <w:rFonts w:ascii="Arial" w:cs="Arial" w:eastAsia="Arial" w:hAnsi="Arial"/>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right="4539"/>
        <w:spacing w:after="0" w:line="267" w:lineRule="auto"/>
        <w:rPr>
          <w:sz w:val="20"/>
          <w:szCs w:val="20"/>
          <w:color w:val="auto"/>
        </w:rPr>
      </w:pPr>
      <w:r>
        <w:rPr>
          <w:rFonts w:ascii="Arial" w:cs="Arial" w:eastAsia="Arial" w:hAnsi="Arial"/>
          <w:sz w:val="20"/>
          <w:szCs w:val="20"/>
          <w:b w:val="1"/>
          <w:bCs w:val="1"/>
          <w:color w:val="auto"/>
        </w:rPr>
        <w:t>PTC THERAPEUTICS HOLDINGS (Bermuda) CORP. LIMITED as Issuer</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By: /s/ Mark E. Boulding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Mark E. Boulding</w:t>
      </w:r>
    </w:p>
    <w:p>
      <w:pPr>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859"/>
        <w:spacing w:after="0"/>
        <w:rPr>
          <w:sz w:val="20"/>
          <w:szCs w:val="20"/>
          <w:color w:val="auto"/>
        </w:rPr>
      </w:pPr>
      <w:r>
        <w:rPr>
          <w:rFonts w:ascii="Arial" w:cs="Arial" w:eastAsia="Arial" w:hAnsi="Arial"/>
          <w:sz w:val="20"/>
          <w:szCs w:val="20"/>
          <w:color w:val="auto"/>
        </w:rPr>
        <w:t>[Signatures Continue on Following Page]</w:t>
      </w: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S-2</w:t>
      </w:r>
    </w:p>
    <w:p>
      <w:pPr>
        <w:sectPr>
          <w:pgSz w:w="11900" w:h="16838" w:orient="portrait"/>
          <w:cols w:equalWidth="0" w:num="1">
            <w:col w:w="10219"/>
          </w:cols>
          <w:pgMar w:left="240" w:top="1076" w:right="1440" w:bottom="1440" w:gutter="0" w:footer="0" w:header="0"/>
        </w:sectPr>
      </w:pPr>
    </w:p>
    <w:bookmarkStart w:id="120" w:name="page121"/>
    <w:bookmarkEnd w:id="120"/>
    <w:p>
      <w:pPr>
        <w:spacing w:after="0"/>
        <w:tabs>
          <w:tab w:leader="none" w:pos="5980" w:val="left"/>
        </w:tabs>
        <w:rPr>
          <w:sz w:val="20"/>
          <w:szCs w:val="20"/>
          <w:color w:val="auto"/>
        </w:rPr>
      </w:pPr>
      <w:r>
        <w:rPr>
          <w:rFonts w:ascii="Arial" w:cs="Arial" w:eastAsia="Arial" w:hAnsi="Arial"/>
          <w:sz w:val="20"/>
          <w:szCs w:val="20"/>
          <w:b w:val="1"/>
          <w:bCs w:val="1"/>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35" w:lineRule="exact"/>
        <w:rPr>
          <w:sz w:val="20"/>
          <w:szCs w:val="20"/>
          <w:color w:val="auto"/>
        </w:rPr>
      </w:pPr>
    </w:p>
    <w:p>
      <w:pPr>
        <w:ind w:left="6000"/>
        <w:spacing w:after="0"/>
        <w:rPr>
          <w:sz w:val="20"/>
          <w:szCs w:val="20"/>
          <w:color w:val="auto"/>
        </w:rPr>
      </w:pPr>
      <w:r>
        <w:rPr>
          <w:rFonts w:ascii="Arial" w:cs="Arial" w:eastAsia="Arial" w:hAnsi="Arial"/>
          <w:sz w:val="20"/>
          <w:szCs w:val="20"/>
          <w:color w:val="auto"/>
        </w:rPr>
        <w:t>By: Apollo Capital Management, L.P.,</w:t>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20"/>
          <w:szCs w:val="20"/>
          <w:color w:val="auto"/>
        </w:rPr>
        <w:t>its investment manager</w:t>
      </w:r>
    </w:p>
    <w:p>
      <w:pPr>
        <w:spacing w:after="0" w:line="21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Apollo Capital Management GP, LLC,</w:t>
      </w:r>
    </w:p>
    <w:p>
      <w:pPr>
        <w:spacing w:after="0" w:line="39" w:lineRule="exact"/>
        <w:rPr>
          <w:sz w:val="20"/>
          <w:szCs w:val="20"/>
          <w:color w:val="auto"/>
        </w:rPr>
      </w:pPr>
    </w:p>
    <w:p>
      <w:pPr>
        <w:ind w:left="6480"/>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By: /s/ Maurice Amsellem</w:t>
      </w:r>
    </w:p>
    <w:p>
      <w:pPr>
        <w:spacing w:after="0" w:line="15"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Name: Maurice Amsellem</w:t>
      </w:r>
    </w:p>
    <w:p>
      <w:pPr>
        <w:ind w:left="614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680"/>
        <w:spacing w:after="0"/>
        <w:rPr>
          <w:sz w:val="20"/>
          <w:szCs w:val="20"/>
          <w:color w:val="auto"/>
        </w:rPr>
      </w:pPr>
      <w:r>
        <w:rPr>
          <w:rFonts w:ascii="Arial" w:cs="Arial" w:eastAsia="Arial" w:hAnsi="Arial"/>
          <w:sz w:val="20"/>
          <w:szCs w:val="20"/>
          <w:color w:val="auto"/>
        </w:rPr>
        <w:t>[End of Signature Pages]</w:t>
      </w:r>
    </w:p>
    <w:p>
      <w:pPr>
        <w:sectPr>
          <w:pgSz w:w="11900" w:h="16838" w:orient="portrait"/>
          <w:cols w:equalWidth="0" w:num="1">
            <w:col w:w="10179"/>
          </w:cols>
          <w:pgMar w:left="280" w:top="1265"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20"/>
          <w:szCs w:val="20"/>
          <w:b w:val="1"/>
          <w:bCs w:val="1"/>
          <w:color w:val="auto"/>
        </w:rPr>
        <w:t>Exhibit 10.3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 SECURITY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This Intellectual Property Security Agreement is entered into as of the 5th day of May, 2017 by and among </w:t>
      </w:r>
      <w:r>
        <w:rPr>
          <w:rFonts w:ascii="Arial" w:cs="Arial" w:eastAsia="Arial" w:hAnsi="Arial"/>
          <w:sz w:val="20"/>
          <w:szCs w:val="20"/>
          <w:b w:val="1"/>
          <w:bCs w:val="1"/>
          <w:color w:val="auto"/>
        </w:rPr>
        <w:t>MIDCAP FINANCIAL</w:t>
      </w:r>
      <w:r>
        <w:rPr>
          <w:rFonts w:ascii="Arial" w:cs="Arial" w:eastAsia="Arial" w:hAnsi="Arial"/>
          <w:sz w:val="20"/>
          <w:szCs w:val="20"/>
          <w:color w:val="auto"/>
        </w:rPr>
        <w:t xml:space="preserve"> </w:t>
      </w:r>
      <w:r>
        <w:rPr>
          <w:rFonts w:ascii="Arial" w:cs="Arial" w:eastAsia="Arial" w:hAnsi="Arial"/>
          <w:sz w:val="20"/>
          <w:szCs w:val="20"/>
          <w:b w:val="1"/>
          <w:bCs w:val="1"/>
          <w:color w:val="auto"/>
        </w:rPr>
        <w:t>TRUST</w:t>
      </w:r>
      <w:r>
        <w:rPr>
          <w:rFonts w:ascii="Arial" w:cs="Arial" w:eastAsia="Arial" w:hAnsi="Arial"/>
          <w:sz w:val="20"/>
          <w:szCs w:val="20"/>
          <w:color w:val="auto"/>
        </w:rPr>
        <w:t>, a Delaware statutory trust (“</w:t>
      </w:r>
      <w:r>
        <w:rPr>
          <w:rFonts w:ascii="Arial" w:cs="Arial" w:eastAsia="Arial" w:hAnsi="Arial"/>
          <w:sz w:val="20"/>
          <w:szCs w:val="20"/>
          <w:u w:val="single" w:color="auto"/>
          <w:color w:val="auto"/>
        </w:rPr>
        <w:t>Agent</w:t>
      </w:r>
      <w:r>
        <w:rPr>
          <w:rFonts w:ascii="Arial" w:cs="Arial" w:eastAsia="Arial" w:hAnsi="Arial"/>
          <w:sz w:val="20"/>
          <w:szCs w:val="20"/>
          <w:color w:val="auto"/>
        </w:rPr>
        <w:t>”) and</w:t>
      </w:r>
      <w:r>
        <w:rPr>
          <w:rFonts w:ascii="Arial" w:cs="Arial" w:eastAsia="Arial" w:hAnsi="Arial"/>
          <w:sz w:val="20"/>
          <w:szCs w:val="20"/>
          <w:b w:val="1"/>
          <w:bCs w:val="1"/>
          <w:color w:val="auto"/>
        </w:rPr>
        <w:t xml:space="preserve"> PTC THERAPEUTICS, INC.</w:t>
      </w:r>
      <w:r>
        <w:rPr>
          <w:rFonts w:ascii="Arial" w:cs="Arial" w:eastAsia="Arial" w:hAnsi="Arial"/>
          <w:sz w:val="20"/>
          <w:szCs w:val="20"/>
          <w:color w:val="auto"/>
        </w:rPr>
        <w:t>, a Delaware corporation (together with any other Person that</w:t>
      </w:r>
      <w:r>
        <w:rPr>
          <w:rFonts w:ascii="Arial" w:cs="Arial" w:eastAsia="Arial" w:hAnsi="Arial"/>
          <w:sz w:val="20"/>
          <w:szCs w:val="20"/>
          <w:b w:val="1"/>
          <w:bCs w:val="1"/>
          <w:color w:val="auto"/>
        </w:rPr>
        <w:t xml:space="preserve"> </w:t>
      </w:r>
      <w:r>
        <w:rPr>
          <w:rFonts w:ascii="Arial" w:cs="Arial" w:eastAsia="Arial" w:hAnsi="Arial"/>
          <w:sz w:val="20"/>
          <w:szCs w:val="20"/>
          <w:color w:val="auto"/>
        </w:rPr>
        <w:t>joins this agreement as a Grantor, each a “</w:t>
      </w:r>
      <w:r>
        <w:rPr>
          <w:rFonts w:ascii="Arial" w:cs="Arial" w:eastAsia="Arial" w:hAnsi="Arial"/>
          <w:sz w:val="20"/>
          <w:szCs w:val="20"/>
          <w:u w:val="single" w:color="auto"/>
          <w:color w:val="auto"/>
        </w:rPr>
        <w:t>Grantor</w:t>
      </w:r>
      <w:r>
        <w:rPr>
          <w:rFonts w:ascii="Arial" w:cs="Arial" w:eastAsia="Arial" w:hAnsi="Arial"/>
          <w:sz w:val="20"/>
          <w:szCs w:val="20"/>
          <w:color w:val="auto"/>
        </w:rPr>
        <w:t>” and collectively, the “</w:t>
      </w:r>
      <w:r>
        <w:rPr>
          <w:rFonts w:ascii="Arial" w:cs="Arial" w:eastAsia="Arial" w:hAnsi="Arial"/>
          <w:sz w:val="20"/>
          <w:szCs w:val="20"/>
          <w:u w:val="single" w:color="auto"/>
          <w:color w:val="auto"/>
        </w:rPr>
        <w:t>Grantors</w:t>
      </w:r>
      <w:r>
        <w:rPr>
          <w:rFonts w:ascii="Arial" w:cs="Arial" w:eastAsia="Arial" w:hAnsi="Arial"/>
          <w:sz w:val="20"/>
          <w:szCs w:val="20"/>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29" w:lineRule="exact"/>
        <w:rPr>
          <w:sz w:val="20"/>
          <w:szCs w:val="20"/>
          <w:color w:val="auto"/>
        </w:rPr>
      </w:pPr>
    </w:p>
    <w:p>
      <w:pPr>
        <w:jc w:val="both"/>
        <w:ind w:firstLine="656"/>
        <w:spacing w:after="0" w:line="258" w:lineRule="auto"/>
        <w:tabs>
          <w:tab w:leader="none" w:pos="106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Lenders have agreed to make certain advances of money and to extend certain financial accommodation to the Grantors (the “</w:t>
      </w:r>
      <w:r>
        <w:rPr>
          <w:rFonts w:ascii="Arial" w:cs="Arial" w:eastAsia="Arial" w:hAnsi="Arial"/>
          <w:sz w:val="19"/>
          <w:szCs w:val="19"/>
          <w:u w:val="single" w:color="auto"/>
          <w:color w:val="auto"/>
        </w:rPr>
        <w:t>Credit Extensions</w:t>
      </w:r>
      <w:r>
        <w:rPr>
          <w:rFonts w:ascii="Arial" w:cs="Arial" w:eastAsia="Arial" w:hAnsi="Arial"/>
          <w:sz w:val="19"/>
          <w:szCs w:val="19"/>
          <w:color w:val="auto"/>
        </w:rPr>
        <w:t>”) in the amounts and manner set forth in that certain Credit and Security Agreement, by and between Agent, the Lenders and the Grantors dated as of the date hereof (as the same may be amended, modified or supplemented from time to time,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capitalized terms used herein are used as defined in the Credit Agreement). The Lenders are willing to make the Credit Extensions to the Grantors, but only upon the condition, among others, that the Grantors shall grant to Agent, for the ratable benefit of the Lenders, a security interest in certain Copyrights, Trademarks, Patents, and Mask Works (as each term is described below) to secure the obligations of the Grantors under the Credit Agreement.</w:t>
      </w:r>
    </w:p>
    <w:p>
      <w:pPr>
        <w:spacing w:after="0" w:line="192" w:lineRule="exact"/>
        <w:rPr>
          <w:rFonts w:ascii="Arial" w:cs="Arial" w:eastAsia="Arial" w:hAnsi="Arial"/>
          <w:sz w:val="19"/>
          <w:szCs w:val="19"/>
          <w:color w:val="auto"/>
        </w:rPr>
      </w:pPr>
    </w:p>
    <w:p>
      <w:pPr>
        <w:ind w:firstLine="656"/>
        <w:spacing w:after="0" w:line="386" w:lineRule="auto"/>
        <w:tabs>
          <w:tab w:leader="none" w:pos="103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Pursuant to the terms of the Credit Agreement, each Grantor has granted to Agent, for the ratable benefit of the Lenders, a security interest in all of such Grantor's right, title and interest, whether presently existing or hereafter acquired, in, to and under all of the Collateral.</w:t>
      </w:r>
    </w:p>
    <w:p>
      <w:pPr>
        <w:spacing w:after="0" w:line="9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for good and valuable consideration, receipt of which is hereby acknowledged, and intending to be legally bound, as collateral security for the prompt and complete payment when due of its obligations under the Credit Agreement, each Grantor hereby represents, warrants, covenants and agrees as follows: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To secure its obligations under the Credit Agreement, each Grantor grants and pledges to Agent, for the ratable benefit of the Lenders, a security interest in all of such Grantor's right, title and interest in, to and under its intellectual property (all of which shall collectively be called the “</w:t>
      </w:r>
      <w:r>
        <w:rPr>
          <w:rFonts w:ascii="Arial" w:cs="Arial" w:eastAsia="Arial" w:hAnsi="Arial"/>
          <w:sz w:val="20"/>
          <w:szCs w:val="20"/>
          <w:u w:val="single" w:color="auto"/>
          <w:color w:val="auto"/>
        </w:rPr>
        <w:t>Intellectual Property Collateral</w:t>
      </w:r>
      <w:r>
        <w:rPr>
          <w:rFonts w:ascii="Arial" w:cs="Arial" w:eastAsia="Arial" w:hAnsi="Arial"/>
          <w:sz w:val="20"/>
          <w:szCs w:val="20"/>
          <w:color w:val="auto"/>
        </w:rPr>
        <w:t>”), including, without limitation, the following:</w:t>
      </w:r>
    </w:p>
    <w:p>
      <w:pPr>
        <w:spacing w:after="0" w:line="200" w:lineRule="exact"/>
        <w:rPr>
          <w:sz w:val="20"/>
          <w:szCs w:val="20"/>
          <w:color w:val="auto"/>
        </w:rPr>
      </w:pPr>
    </w:p>
    <w:p>
      <w:pPr>
        <w:jc w:val="both"/>
        <w:ind w:firstLine="1305"/>
        <w:spacing w:after="0" w:line="246" w:lineRule="auto"/>
        <w:tabs>
          <w:tab w:leader="none" w:pos="187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Any and all copyright rights, copyright applications, copyright registrations and like protections in each work or authorship and derivative work thereof, whether published or unpublished and whether or not the same also constitutes a trade secret, now or hereafter existing, created, acquired or held, including without limitation those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Copyrights</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ind w:firstLine="1305"/>
        <w:spacing w:after="0" w:line="260" w:lineRule="auto"/>
        <w:tabs>
          <w:tab w:leader="none" w:pos="1846"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Any and all trade secrets, and any and all intellectual property rights in computer software and computer software products now or hereafter existing, created, acquired or held;</w:t>
      </w:r>
    </w:p>
    <w:p>
      <w:pPr>
        <w:spacing w:after="0" w:line="190" w:lineRule="exact"/>
        <w:rPr>
          <w:rFonts w:ascii="Arial" w:cs="Arial" w:eastAsia="Arial" w:hAnsi="Arial"/>
          <w:sz w:val="20"/>
          <w:szCs w:val="20"/>
          <w:color w:val="auto"/>
        </w:rPr>
      </w:pPr>
    </w:p>
    <w:p>
      <w:pPr>
        <w:ind w:left="1720" w:hanging="415"/>
        <w:spacing w:after="0"/>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and all design rights that may be available to such Grantor now or hereafter existing, created, acquired or held;</w:t>
      </w:r>
    </w:p>
    <w:p>
      <w:pPr>
        <w:spacing w:after="0" w:line="240" w:lineRule="exact"/>
        <w:rPr>
          <w:rFonts w:ascii="Arial" w:cs="Arial" w:eastAsia="Arial" w:hAnsi="Arial"/>
          <w:sz w:val="19"/>
          <w:szCs w:val="19"/>
          <w:color w:val="auto"/>
        </w:rPr>
      </w:pPr>
    </w:p>
    <w:p>
      <w:pPr>
        <w:jc w:val="both"/>
        <w:ind w:firstLine="1305"/>
        <w:spacing w:after="0" w:line="250" w:lineRule="auto"/>
        <w:tabs>
          <w:tab w:leader="none" w:pos="1728" w:val="left"/>
        </w:tabs>
        <w:numPr>
          <w:ilvl w:val="0"/>
          <w:numId w:val="151"/>
        </w:numPr>
        <w:rPr>
          <w:rFonts w:ascii="Arial" w:cs="Arial" w:eastAsia="Arial" w:hAnsi="Arial"/>
          <w:sz w:val="20"/>
          <w:szCs w:val="20"/>
          <w:color w:val="auto"/>
        </w:rPr>
      </w:pPr>
      <w:r>
        <w:rPr>
          <w:rFonts w:ascii="Arial" w:cs="Arial" w:eastAsia="Arial" w:hAnsi="Arial"/>
          <w:sz w:val="20"/>
          <w:szCs w:val="20"/>
          <w:color w:val="auto"/>
        </w:rPr>
        <w:t xml:space="preserve">All patents, patent applications and like protections including, without limitation, improvements, divisions, continuations, renewals, reissues, extensions and continuations-in-part of the same, including without limitation the patents and patent applications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Patents</w:t>
      </w:r>
      <w:r>
        <w:rPr>
          <w:rFonts w:ascii="Arial" w:cs="Arial" w:eastAsia="Arial" w:hAnsi="Arial"/>
          <w:sz w:val="20"/>
          <w:szCs w:val="20"/>
          <w:color w:val="auto"/>
        </w:rPr>
        <w:t>”);</w:t>
      </w:r>
    </w:p>
    <w:p>
      <w:pPr>
        <w:sectPr>
          <w:pgSz w:w="11900" w:h="16838" w:orient="portrait"/>
          <w:cols w:equalWidth="0" w:num="1">
            <w:col w:w="11420"/>
          </w:cols>
          <w:pgMar w:left="240" w:top="346" w:right="239" w:bottom="1440" w:gutter="0" w:footer="0" w:header="0"/>
        </w:sectPr>
      </w:pPr>
    </w:p>
    <w:bookmarkStart w:id="122" w:name="page123"/>
    <w:bookmarkEnd w:id="122"/>
    <w:p>
      <w:pPr>
        <w:jc w:val="both"/>
        <w:ind w:firstLine="1305"/>
        <w:spacing w:after="0" w:line="250" w:lineRule="auto"/>
        <w:tabs>
          <w:tab w:leader="none" w:pos="1706"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Any trademark and servicemark rights, whether registered or not, applications to register and registrations of the same and like protections, and the entire goodwill of the business of such Grantor connected with and symbolized by such trademarks, including without limitation those set forth on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Trademarks</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firstLine="1305"/>
        <w:spacing w:after="0" w:line="260" w:lineRule="auto"/>
        <w:tabs>
          <w:tab w:leader="none" w:pos="174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All mask works or similar rights available for the protection of semiconductor chips, now owned or hereafter acquired, including, without limitation those set forth on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hereto (collectively, the “</w:t>
      </w:r>
      <w:r>
        <w:rPr>
          <w:rFonts w:ascii="Arial" w:cs="Arial" w:eastAsia="Arial" w:hAnsi="Arial"/>
          <w:sz w:val="20"/>
          <w:szCs w:val="20"/>
          <w:u w:val="single" w:color="auto"/>
          <w:color w:val="auto"/>
        </w:rPr>
        <w:t>Mask Works</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firstLine="1305"/>
        <w:spacing w:after="0" w:line="250" w:lineRule="auto"/>
        <w:tabs>
          <w:tab w:leader="none" w:pos="1719"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Any and all claims for damages by way of past, present and future infringements of any of the rights included above, with the right, but not the obligation, to sue for and collect such damages for said use or infringement of the intellectual property rights identified above;</w:t>
      </w:r>
    </w:p>
    <w:p>
      <w:pPr>
        <w:spacing w:after="0" w:line="199" w:lineRule="exact"/>
        <w:rPr>
          <w:rFonts w:ascii="Arial" w:cs="Arial" w:eastAsia="Arial" w:hAnsi="Arial"/>
          <w:sz w:val="20"/>
          <w:szCs w:val="20"/>
          <w:color w:val="auto"/>
        </w:rPr>
      </w:pPr>
    </w:p>
    <w:p>
      <w:pPr>
        <w:ind w:right="20" w:firstLine="1305"/>
        <w:spacing w:after="0" w:line="260" w:lineRule="auto"/>
        <w:tabs>
          <w:tab w:leader="none" w:pos="178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All licenses or other rights to use any of the Copyrights, Patents, Trademarks, or Mask Works and all license fees and royalties arising from such use to the extent permitted by such license or rights;</w:t>
      </w:r>
    </w:p>
    <w:p>
      <w:pPr>
        <w:spacing w:after="0" w:line="190" w:lineRule="exact"/>
        <w:rPr>
          <w:rFonts w:ascii="Arial" w:cs="Arial" w:eastAsia="Arial" w:hAnsi="Arial"/>
          <w:sz w:val="20"/>
          <w:szCs w:val="20"/>
          <w:color w:val="auto"/>
        </w:rPr>
      </w:pPr>
    </w:p>
    <w:p>
      <w:pPr>
        <w:ind w:left="1680" w:hanging="375"/>
        <w:spacing w:after="0"/>
        <w:tabs>
          <w:tab w:leader="none" w:pos="16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All amendments, extensions, renewals and extensions of any of the Copyrights, Trademarks, Patents, or Mask Works; and</w:t>
      </w:r>
    </w:p>
    <w:p>
      <w:pPr>
        <w:spacing w:after="0" w:line="275" w:lineRule="exact"/>
        <w:rPr>
          <w:rFonts w:ascii="Arial" w:cs="Arial" w:eastAsia="Arial" w:hAnsi="Arial"/>
          <w:sz w:val="16"/>
          <w:szCs w:val="16"/>
          <w:color w:val="auto"/>
        </w:rPr>
      </w:pPr>
    </w:p>
    <w:p>
      <w:pPr>
        <w:ind w:firstLine="1305"/>
        <w:spacing w:after="0" w:line="260" w:lineRule="auto"/>
        <w:tabs>
          <w:tab w:leader="none" w:pos="1678" w:val="left"/>
        </w:tabs>
        <w:numPr>
          <w:ilvl w:val="0"/>
          <w:numId w:val="152"/>
        </w:numPr>
        <w:rPr>
          <w:rFonts w:ascii="Arial" w:cs="Arial" w:eastAsia="Arial" w:hAnsi="Arial"/>
          <w:sz w:val="20"/>
          <w:szCs w:val="20"/>
          <w:color w:val="auto"/>
        </w:rPr>
      </w:pPr>
      <w:r>
        <w:rPr>
          <w:rFonts w:ascii="Arial" w:cs="Arial" w:eastAsia="Arial" w:hAnsi="Arial"/>
          <w:sz w:val="20"/>
          <w:szCs w:val="20"/>
          <w:color w:val="auto"/>
        </w:rPr>
        <w:t>All proceeds and products of the foregoing, including without limitation all payments under insurance or any indemnity or warranty payable in respect of any of the foregoing.</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This security interest is granted in conjunction with the security interest granted to Agent, for the ratable benefit of the Lenders, under the Credit Agreement. The rights and remedies of Agent with respect to the security interest granted hereby are in addition to those set forth in the Credit Agreement and the other Financing Documents, and those which are now or hereafter available to Agent as a matter of law or equity. Each right, power and remedy of Agent provided for herein or in the Credit Agreement or any of the Financing Documents, or now or hereafter existing at law or in equity shall be cumulative and concurrent and shall be in addition to every right, power or remedy provided for herein and the exercise by Agent of any one or more of the rights, powers or remedies provided for in this Intellectual Property Security Agreement, the Credit Agreement or any of the other Financing Documents, or now or hereafter existing at law or in equity, shall not preclude the simultaneous or later exercise by any person, including Agent, of any or all other rights, powers or remedies.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123" w:name="page124"/>
    <w:bookmarkEnd w:id="123"/>
    <w:p>
      <w:pPr>
        <w:spacing w:after="0" w:line="260" w:lineRule="auto"/>
        <w:rPr>
          <w:sz w:val="20"/>
          <w:szCs w:val="20"/>
          <w:color w:val="auto"/>
        </w:rPr>
      </w:pPr>
      <w:r>
        <w:rPr>
          <w:rFonts w:ascii="Arial" w:cs="Arial" w:eastAsia="Arial" w:hAnsi="Arial"/>
          <w:sz w:val="20"/>
          <w:szCs w:val="20"/>
          <w:color w:val="auto"/>
        </w:rPr>
        <w:t>IN WITNESS WHEREOF, the parties have caused this Intellectual Property Security Agreement to be duly executed by its officers thereunto duly authorized as of the first date written above.</w:t>
      </w:r>
    </w:p>
    <w:p>
      <w:pPr>
        <w:spacing w:after="0" w:line="200" w:lineRule="exact"/>
        <w:rPr>
          <w:sz w:val="20"/>
          <w:szCs w:val="20"/>
          <w:color w:val="auto"/>
        </w:rPr>
      </w:pPr>
    </w:p>
    <w:p>
      <w:pPr>
        <w:spacing w:after="0" w:line="349" w:lineRule="exact"/>
        <w:rPr>
          <w:sz w:val="20"/>
          <w:szCs w:val="20"/>
          <w:color w:val="auto"/>
        </w:rPr>
      </w:pPr>
    </w:p>
    <w:p>
      <w:pPr>
        <w:ind w:left="240"/>
        <w:spacing w:after="0"/>
        <w:tabs>
          <w:tab w:leader="none" w:pos="5180" w:val="left"/>
        </w:tabs>
        <w:rPr>
          <w:sz w:val="20"/>
          <w:szCs w:val="20"/>
          <w:color w:val="auto"/>
        </w:rPr>
      </w:pPr>
      <w:r>
        <w:rPr>
          <w:rFonts w:ascii="Arial" w:cs="Arial" w:eastAsia="Arial" w:hAnsi="Arial"/>
          <w:sz w:val="20"/>
          <w:szCs w:val="20"/>
          <w:b w:val="1"/>
          <w:bCs w:val="1"/>
          <w:color w:val="auto"/>
        </w:rPr>
        <w:t>GRANTORS:</w:t>
      </w:r>
      <w:r>
        <w:rPr>
          <w:sz w:val="20"/>
          <w:szCs w:val="20"/>
          <w:color w:val="auto"/>
        </w:rPr>
        <w:tab/>
      </w:r>
      <w:r>
        <w:rPr>
          <w:rFonts w:ascii="Arial" w:cs="Arial" w:eastAsia="Arial" w:hAnsi="Arial"/>
          <w:sz w:val="20"/>
          <w:szCs w:val="20"/>
          <w:b w:val="1"/>
          <w:bCs w:val="1"/>
          <w:color w:val="auto"/>
        </w:rPr>
        <w:t>PTC Therapeutics, Inc.</w:t>
      </w:r>
    </w:p>
    <w:p>
      <w:pPr>
        <w:spacing w:after="0" w:line="22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 /s/ Mark E. Boulding</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Mark E. Boulding</w:t>
      </w:r>
    </w:p>
    <w:p>
      <w:pPr>
        <w:ind w:left="5200"/>
        <w:spacing w:after="0"/>
        <w:rPr>
          <w:sz w:val="20"/>
          <w:szCs w:val="20"/>
          <w:color w:val="auto"/>
        </w:rPr>
      </w:pPr>
      <w:r>
        <w:rPr>
          <w:rFonts w:ascii="Arial" w:cs="Arial" w:eastAsia="Arial" w:hAnsi="Arial"/>
          <w:sz w:val="20"/>
          <w:szCs w:val="20"/>
          <w:color w:val="auto"/>
        </w:rPr>
        <w:t>Title: Executive Vice President, Chief Legal Officer</w:t>
      </w:r>
    </w:p>
    <w:p>
      <w:pPr>
        <w:spacing w:after="0" w:line="213"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 100 Corporate Court, South Plainfield, NJ 07080</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Attn: Mark E. Boulding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0"/>
        <w:spacing w:after="0"/>
        <w:tabs>
          <w:tab w:leader="none" w:pos="5280" w:val="left"/>
        </w:tabs>
        <w:rPr>
          <w:sz w:val="20"/>
          <w:szCs w:val="20"/>
          <w:color w:val="auto"/>
        </w:rPr>
      </w:pPr>
      <w:r>
        <w:rPr>
          <w:rFonts w:ascii="Arial" w:cs="Arial" w:eastAsia="Arial" w:hAnsi="Arial"/>
          <w:sz w:val="20"/>
          <w:szCs w:val="20"/>
          <w:b w:val="1"/>
          <w:bCs w:val="1"/>
          <w:u w:val="single" w:color="auto"/>
          <w:color w:val="auto"/>
        </w:rPr>
        <w:t>AGENT:</w:t>
      </w:r>
      <w:r>
        <w:rPr>
          <w:sz w:val="20"/>
          <w:szCs w:val="20"/>
          <w:color w:val="auto"/>
        </w:rPr>
        <w:tab/>
      </w:r>
      <w:r>
        <w:rPr>
          <w:rFonts w:ascii="Arial" w:cs="Arial" w:eastAsia="Arial" w:hAnsi="Arial"/>
          <w:sz w:val="20"/>
          <w:szCs w:val="20"/>
          <w:b w:val="1"/>
          <w:bCs w:val="1"/>
          <w:color w:val="auto"/>
        </w:rPr>
        <w:t>MIDCAP FINANCIAL TRUST</w:t>
      </w:r>
    </w:p>
    <w:p>
      <w:pPr>
        <w:spacing w:after="0" w:line="212"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By: Apollo Capital Management, L.P.,</w:t>
      </w:r>
    </w:p>
    <w:p>
      <w:pPr>
        <w:ind w:left="5780"/>
        <w:spacing w:after="0"/>
        <w:rPr>
          <w:sz w:val="20"/>
          <w:szCs w:val="20"/>
          <w:color w:val="auto"/>
        </w:rPr>
      </w:pPr>
      <w:r>
        <w:rPr>
          <w:rFonts w:ascii="Arial" w:cs="Arial" w:eastAsia="Arial" w:hAnsi="Arial"/>
          <w:sz w:val="20"/>
          <w:szCs w:val="20"/>
          <w:color w:val="auto"/>
        </w:rPr>
        <w:t>its investment manager</w:t>
      </w:r>
    </w:p>
    <w:p>
      <w:pPr>
        <w:spacing w:after="0" w:line="188"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By: Apollo Capital Management GP, LLC,</w:t>
      </w:r>
    </w:p>
    <w:p>
      <w:pPr>
        <w:ind w:left="5780"/>
        <w:spacing w:after="0"/>
        <w:rPr>
          <w:sz w:val="20"/>
          <w:szCs w:val="20"/>
          <w:color w:val="auto"/>
        </w:rPr>
      </w:pPr>
      <w:r>
        <w:rPr>
          <w:rFonts w:ascii="Arial" w:cs="Arial" w:eastAsia="Arial" w:hAnsi="Arial"/>
          <w:sz w:val="20"/>
          <w:szCs w:val="20"/>
          <w:color w:val="auto"/>
        </w:rPr>
        <w:t>its general partner</w:t>
      </w: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Arial" w:cs="Arial" w:eastAsia="Arial" w:hAnsi="Arial"/>
          <w:sz w:val="20"/>
          <w:szCs w:val="20"/>
          <w:color w:val="auto"/>
        </w:rPr>
        <w:t>By: /s/ Maurice Amsellem</w:t>
      </w:r>
    </w:p>
    <w:p>
      <w:pPr>
        <w:ind w:left="5300"/>
        <w:spacing w:after="0" w:line="225" w:lineRule="auto"/>
        <w:rPr>
          <w:sz w:val="20"/>
          <w:szCs w:val="20"/>
          <w:color w:val="auto"/>
        </w:rPr>
      </w:pPr>
      <w:r>
        <w:rPr>
          <w:rFonts w:ascii="Arial" w:cs="Arial" w:eastAsia="Arial" w:hAnsi="Arial"/>
          <w:sz w:val="20"/>
          <w:szCs w:val="20"/>
          <w:color w:val="auto"/>
        </w:rPr>
        <w:t>Name: Maurice Amsellem</w:t>
      </w:r>
    </w:p>
    <w:p>
      <w:pPr>
        <w:ind w:left="530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11420"/>
          </w:cols>
          <w:pgMar w:left="240" w:top="582"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11506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50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PTC Therapeutics Reports First Quarter 2017 Financial Results and Provides Corporate Update</w:t>
      </w:r>
    </w:p>
    <w:p>
      <w:pPr>
        <w:spacing w:after="0" w:line="326" w:lineRule="exact"/>
        <w:rPr>
          <w:sz w:val="20"/>
          <w:szCs w:val="20"/>
          <w:color w:val="auto"/>
        </w:rPr>
      </w:pPr>
    </w:p>
    <w:p>
      <w:pPr>
        <w:jc w:val="center"/>
        <w:ind w:left="260" w:right="1480"/>
        <w:spacing w:after="0" w:line="290" w:lineRule="auto"/>
        <w:rPr>
          <w:sz w:val="20"/>
          <w:szCs w:val="20"/>
          <w:color w:val="auto"/>
        </w:rPr>
      </w:pPr>
      <w:r>
        <w:rPr>
          <w:rFonts w:ascii="Arial" w:cs="Arial" w:eastAsia="Arial" w:hAnsi="Arial"/>
          <w:sz w:val="20"/>
          <w:szCs w:val="20"/>
          <w:i w:val="1"/>
          <w:iCs w:val="1"/>
          <w:color w:val="auto"/>
        </w:rPr>
        <w:t>- Translarna™ first quarter net sales of $26.4M representing 40% year-over-year growth - - Full-year 2017 Translarna net sales guidance increased to $115 to $130M - - EMFLAZA</w:t>
      </w:r>
      <w:r>
        <w:rPr>
          <w:rFonts w:ascii="Arial" w:cs="Arial" w:eastAsia="Arial" w:hAnsi="Arial"/>
          <w:sz w:val="25"/>
          <w:szCs w:val="25"/>
          <w:i w:val="1"/>
          <w:iCs w:val="1"/>
          <w:color w:val="auto"/>
          <w:vertAlign w:val="superscript"/>
        </w:rPr>
        <w:t>TM</w:t>
      </w:r>
      <w:r>
        <w:rPr>
          <w:rFonts w:ascii="Arial" w:cs="Arial" w:eastAsia="Arial" w:hAnsi="Arial"/>
          <w:sz w:val="20"/>
          <w:szCs w:val="20"/>
          <w:i w:val="1"/>
          <w:iCs w:val="1"/>
          <w:color w:val="auto"/>
        </w:rPr>
        <w:t xml:space="preserve"> for the treatment of Duchenne muscular dystrophy planned to launch in the coming weeks -</w:t>
      </w:r>
    </w:p>
    <w:p>
      <w:pPr>
        <w:spacing w:after="0" w:line="171" w:lineRule="exact"/>
        <w:rPr>
          <w:sz w:val="20"/>
          <w:szCs w:val="20"/>
          <w:color w:val="auto"/>
        </w:rPr>
      </w:pPr>
    </w:p>
    <w:p>
      <w:pPr>
        <w:ind w:right="160"/>
        <w:spacing w:after="0" w:line="309" w:lineRule="auto"/>
        <w:rPr>
          <w:sz w:val="20"/>
          <w:szCs w:val="20"/>
          <w:color w:val="auto"/>
        </w:rPr>
      </w:pPr>
      <w:r>
        <w:rPr>
          <w:rFonts w:ascii="Arial" w:cs="Arial" w:eastAsia="Arial" w:hAnsi="Arial"/>
          <w:sz w:val="20"/>
          <w:szCs w:val="20"/>
          <w:b w:val="1"/>
          <w:bCs w:val="1"/>
          <w:color w:val="auto"/>
        </w:rPr>
        <w:t xml:space="preserve">SOUTH PLAINFIELD, N.J., – May 8, 2017 </w:t>
      </w:r>
      <w:r>
        <w:rPr>
          <w:rFonts w:ascii="Arial" w:cs="Arial" w:eastAsia="Arial" w:hAnsi="Arial"/>
          <w:sz w:val="20"/>
          <w:szCs w:val="20"/>
          <w:color w:val="auto"/>
        </w:rPr>
        <w:t>– PTC Therapeutics, Inc. (NASDAQ: PTCT) today announced a corporate update and reported</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results for the first quarter ending March 31, 2017.</w:t>
      </w:r>
    </w:p>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20"/>
          <w:szCs w:val="20"/>
          <w:color w:val="auto"/>
        </w:rPr>
        <w:t>“We are thrilled to bring EMFLAZA to Duchenne muscular dystrophy patients in the United States,” said Stuart W. Peltz, Ph.D., Chief Executive Officer, PTC Therapeutics, Inc. “The acquisition of EMFLAZA supports our commitment to providing new treatment options for Duchenne patients. We plan to launch EMFLAZA in the coming weeks and are focused on providing access to all eligible patients. We are also pleased with Translarna’s continued sales growth outside the U.S. with another strong quarter. With Translarna and EMFLAZA, we now have two of the three approved Duchenne drugs globally.”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Financial Highlights:</w:t>
      </w:r>
    </w:p>
    <w:p>
      <w:pPr>
        <w:spacing w:after="0" w:line="46" w:lineRule="exact"/>
        <w:rPr>
          <w:sz w:val="20"/>
          <w:szCs w:val="20"/>
          <w:color w:val="auto"/>
        </w:rPr>
      </w:pPr>
    </w:p>
    <w:p>
      <w:pPr>
        <w:ind w:left="660" w:right="260" w:hanging="328"/>
        <w:spacing w:after="0" w:line="281" w:lineRule="auto"/>
        <w:tabs>
          <w:tab w:leader="none" w:pos="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Translarna net product sales were $26.4 million for the first quarter of 2017, representing 40% growth over $18.9 million reported in the first quarter of 2016.</w:t>
      </w:r>
    </w:p>
    <w:p>
      <w:pPr>
        <w:spacing w:after="0" w:line="1" w:lineRule="exact"/>
        <w:rPr>
          <w:rFonts w:ascii="Arial" w:cs="Arial" w:eastAsia="Arial" w:hAnsi="Arial"/>
          <w:sz w:val="20"/>
          <w:szCs w:val="20"/>
          <w:color w:val="auto"/>
        </w:rPr>
      </w:pPr>
    </w:p>
    <w:p>
      <w:pPr>
        <w:ind w:left="660" w:right="320" w:hanging="328"/>
        <w:spacing w:after="0" w:line="281" w:lineRule="auto"/>
        <w:tabs>
          <w:tab w:leader="none" w:pos="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Total revenues for the first quarter of 2017 were $26.5 million compared to $18.9 million in the same period of 2016. The change in total revenue was a result of the expanded commercial launch of Translarna.</w:t>
      </w:r>
    </w:p>
    <w:p>
      <w:pPr>
        <w:spacing w:after="0" w:line="1" w:lineRule="exact"/>
        <w:rPr>
          <w:rFonts w:ascii="Arial" w:cs="Arial" w:eastAsia="Arial" w:hAnsi="Arial"/>
          <w:sz w:val="20"/>
          <w:szCs w:val="20"/>
          <w:color w:val="auto"/>
        </w:rPr>
      </w:pPr>
    </w:p>
    <w:p>
      <w:pPr>
        <w:ind w:left="660" w:right="40" w:hanging="328"/>
        <w:spacing w:after="0" w:line="281" w:lineRule="auto"/>
        <w:tabs>
          <w:tab w:leader="none" w:pos="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GAAP R&amp;D expenses were $27.4 million for the first quarter of 2017 compared to $31.4 million for the same period in 2016. Non-GAAP R&amp;D expenses were $22.9 million for the first quarter of 2017, excluding $4.5 million in non-cash, stock-based compensation expense, compared to $26.4 million for the same period in 2016, excluding $4.3 million in non-cash, stock-based compensation expense and one-time restructuring costs of $0.7 million. The decrease in R&amp;D expense for the first quarter of 2017 as compared to the prior year period was primarily due to the completion of our ACT CF study at the end of 2016 and the ongoing reduction of clinical trial expenses.</w:t>
      </w:r>
    </w:p>
    <w:p>
      <w:pPr>
        <w:spacing w:after="0" w:line="5" w:lineRule="exact"/>
        <w:rPr>
          <w:rFonts w:ascii="Arial" w:cs="Arial" w:eastAsia="Arial" w:hAnsi="Arial"/>
          <w:sz w:val="20"/>
          <w:szCs w:val="20"/>
          <w:color w:val="auto"/>
        </w:rPr>
      </w:pPr>
    </w:p>
    <w:p>
      <w:pPr>
        <w:ind w:left="660" w:right="220" w:hanging="328"/>
        <w:spacing w:after="0" w:line="303" w:lineRule="auto"/>
        <w:tabs>
          <w:tab w:leader="none" w:pos="66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GAAP SG&amp;A expenses were $25.5 million for the first quarter of 2017 compared to $25.9 million for the same period in 2016. Non-GAAP SG&amp;A expenses were $20.9</w:t>
      </w:r>
    </w:p>
    <w:p>
      <w:pPr>
        <w:sectPr>
          <w:pgSz w:w="11900" w:h="16838" w:orient="portrait"/>
          <w:cols w:equalWidth="0" w:num="1">
            <w:col w:w="11420"/>
          </w:cols>
          <w:pgMar w:left="240" w:top="378" w:right="239" w:bottom="1440" w:gutter="0" w:footer="0" w:header="0"/>
        </w:sectPr>
      </w:pPr>
    </w:p>
    <w:bookmarkStart w:id="125" w:name="page126"/>
    <w:bookmarkEnd w:id="125"/>
    <w:p>
      <w:pPr>
        <w:jc w:val="both"/>
        <w:ind w:left="660" w:right="20"/>
        <w:spacing w:after="0" w:line="339" w:lineRule="auto"/>
        <w:rPr>
          <w:sz w:val="20"/>
          <w:szCs w:val="20"/>
          <w:color w:val="auto"/>
        </w:rPr>
      </w:pPr>
      <w:r>
        <w:rPr>
          <w:rFonts w:ascii="Arial" w:cs="Arial" w:eastAsia="Arial" w:hAnsi="Arial"/>
          <w:sz w:val="18"/>
          <w:szCs w:val="18"/>
          <w:color w:val="auto"/>
        </w:rPr>
        <w:t>million for the first quarter of 2017, excluding $4.6 million in non-cash, stock-based compensation expense, compared to $20.2 million for the same period in 2016, excluding $4.6 million in non-cash, stock-based compensation expense and one-time restructuring costs of $1.2 million. SG&amp;A expenses were relatively flat for the first quarter of 2017 as compared to the same period in 2016.</w:t>
      </w:r>
    </w:p>
    <w:p>
      <w:pPr>
        <w:spacing w:after="0" w:line="1" w:lineRule="exact"/>
        <w:rPr>
          <w:sz w:val="20"/>
          <w:szCs w:val="20"/>
          <w:color w:val="auto"/>
        </w:rPr>
      </w:pPr>
    </w:p>
    <w:p>
      <w:pPr>
        <w:ind w:left="660" w:right="180" w:hanging="328"/>
        <w:spacing w:after="0" w:line="296" w:lineRule="auto"/>
        <w:tabs>
          <w:tab w:leader="none" w:pos="6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Net interest expense for the first quarter of 2017 was $2.2 million compared to net interest expense of $2.0 million in the same period in 2016. The increase in net interest expense is primarily a result of reduced interest income from investments.</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Net loss for the first quarter of 2017 was $29.1 million compared to a net loss of $41.2 million for the same period in 2016.</w:t>
      </w:r>
    </w:p>
    <w:p>
      <w:pPr>
        <w:spacing w:after="0" w:line="51" w:lineRule="exact"/>
        <w:rPr>
          <w:rFonts w:ascii="Arial" w:cs="Arial" w:eastAsia="Arial" w:hAnsi="Arial"/>
          <w:sz w:val="19"/>
          <w:szCs w:val="19"/>
          <w:color w:val="auto"/>
        </w:rPr>
      </w:pPr>
    </w:p>
    <w:p>
      <w:pPr>
        <w:ind w:left="660" w:right="120" w:hanging="328"/>
        <w:spacing w:after="0" w:line="281" w:lineRule="auto"/>
        <w:tabs>
          <w:tab w:leader="none" w:pos="660" w:val="left"/>
        </w:tabs>
        <w:numPr>
          <w:ilvl w:val="0"/>
          <w:numId w:val="154"/>
        </w:numPr>
        <w:rPr>
          <w:rFonts w:ascii="Arial" w:cs="Arial" w:eastAsia="Arial" w:hAnsi="Arial"/>
          <w:sz w:val="20"/>
          <w:szCs w:val="20"/>
          <w:color w:val="auto"/>
        </w:rPr>
      </w:pPr>
      <w:r>
        <w:rPr>
          <w:rFonts w:ascii="Arial" w:cs="Arial" w:eastAsia="Arial" w:hAnsi="Arial"/>
          <w:sz w:val="20"/>
          <w:szCs w:val="20"/>
          <w:color w:val="auto"/>
        </w:rPr>
        <w:t>Cash, cash equivalents, and marketable securities totaled approximately $202.6 million at March 31, 2017 compared to approximately $231.7 million at December 31, 2016.</w:t>
      </w:r>
    </w:p>
    <w:p>
      <w:pPr>
        <w:spacing w:after="0" w:line="1" w:lineRule="exact"/>
        <w:rPr>
          <w:rFonts w:ascii="Arial" w:cs="Arial" w:eastAsia="Arial" w:hAnsi="Arial"/>
          <w:sz w:val="20"/>
          <w:szCs w:val="20"/>
          <w:color w:val="auto"/>
        </w:rPr>
      </w:pPr>
    </w:p>
    <w:p>
      <w:pPr>
        <w:ind w:left="660" w:hanging="328"/>
        <w:spacing w:after="0"/>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Shares issued and outstanding as of March 31, 2017 were 34.6 million, which includes 0.3 million shares of unvested restricted stock.</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2017 Guidance:</w:t>
      </w:r>
    </w:p>
    <w:p>
      <w:pPr>
        <w:spacing w:after="0" w:line="46" w:lineRule="exact"/>
        <w:rPr>
          <w:sz w:val="20"/>
          <w:szCs w:val="20"/>
          <w:color w:val="auto"/>
        </w:rPr>
      </w:pPr>
    </w:p>
    <w:p>
      <w:pPr>
        <w:ind w:left="660" w:right="260" w:hanging="328"/>
        <w:spacing w:after="0" w:line="296" w:lineRule="auto"/>
        <w:tabs>
          <w:tab w:leader="none" w:pos="6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Translarna net sales for 2017 are now anticipated to be between $115 and $130 million, an increase from prior guidance of $105 to $125 million. This guidance assumes the current exchange rates and the continued commercial expansion for Translarna in nmDMD outside of the U.S. Taking into account the time to achieve reimbursement and other launch-related factors, PTC anticipates EMFLAZA net sales for 2017 to be between $5 and $10 million. PTC also anticipates a potential $20 million milestone payment in 2017 related to the SMA program for total 2017 revenues between $120 and $160 million.</w:t>
      </w:r>
    </w:p>
    <w:p>
      <w:pPr>
        <w:spacing w:after="0" w:line="3" w:lineRule="exact"/>
        <w:rPr>
          <w:rFonts w:ascii="Arial" w:cs="Arial" w:eastAsia="Arial" w:hAnsi="Arial"/>
          <w:sz w:val="19"/>
          <w:szCs w:val="19"/>
          <w:color w:val="auto"/>
        </w:rPr>
      </w:pPr>
    </w:p>
    <w:p>
      <w:pPr>
        <w:ind w:left="660" w:hanging="328"/>
        <w:spacing w:after="0" w:line="295" w:lineRule="auto"/>
        <w:tabs>
          <w:tab w:leader="none" w:pos="6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GAAP operating expenses for full year 2017 are anticipated to be between $250 to $260 million. Excluding estimated non-cash, stock-based compensation expense of approximately $40 million, full year 2017 non-GAAP operating expenses are anticipated to be between $210 and $220 million. These operating expenses are expected to be primarily in support of the commercial availability of Translarna outside of the U.S. and in support of the pending commercial launch of EMFLAZA in the U.S., as well as the continued research and clinical development of other product pipeline candidates.</w:t>
      </w:r>
    </w:p>
    <w:p>
      <w:pPr>
        <w:spacing w:after="0" w:line="7" w:lineRule="exact"/>
        <w:rPr>
          <w:rFonts w:ascii="Arial" w:cs="Arial" w:eastAsia="Arial" w:hAnsi="Arial"/>
          <w:sz w:val="19"/>
          <w:szCs w:val="19"/>
          <w:color w:val="auto"/>
        </w:rPr>
      </w:pPr>
    </w:p>
    <w:p>
      <w:pPr>
        <w:ind w:left="660" w:right="340" w:hanging="328"/>
        <w:spacing w:after="0" w:line="288" w:lineRule="auto"/>
        <w:tabs>
          <w:tab w:leader="none" w:pos="660" w:val="left"/>
        </w:tabs>
        <w:numPr>
          <w:ilvl w:val="0"/>
          <w:numId w:val="155"/>
        </w:numPr>
        <w:rPr>
          <w:rFonts w:ascii="Arial" w:cs="Arial" w:eastAsia="Arial" w:hAnsi="Arial"/>
          <w:sz w:val="20"/>
          <w:szCs w:val="20"/>
          <w:b w:val="1"/>
          <w:bCs w:val="1"/>
          <w:color w:val="auto"/>
        </w:rPr>
      </w:pPr>
      <w:r>
        <w:rPr>
          <w:rFonts w:ascii="Arial" w:cs="Arial" w:eastAsia="Arial" w:hAnsi="Arial"/>
          <w:sz w:val="20"/>
          <w:szCs w:val="20"/>
          <w:color w:val="auto"/>
        </w:rPr>
        <w:t>PTC recently closed on a $60 million senior secured term loan facility with MidCap Financial, of which $40 million was drawn at close. As a result of the $75 million in cash utilized in the EMFLAZA acquisition, partially offset by the $40 million draw-down of term-loan financing from MidCap Financial, PTC now expects to end 2017 with cash and cash equivalents of approximately $100 million.</w:t>
      </w:r>
    </w:p>
    <w:p>
      <w:pPr>
        <w:sectPr>
          <w:pgSz w:w="11900" w:h="16838" w:orient="portrait"/>
          <w:cols w:equalWidth="0" w:num="1">
            <w:col w:w="11400"/>
          </w:cols>
          <w:pgMar w:left="240" w:top="406" w:right="259" w:bottom="1440" w:gutter="0" w:footer="0" w:header="0"/>
        </w:sectPr>
      </w:pPr>
    </w:p>
    <w:bookmarkStart w:id="126" w:name="page127"/>
    <w:bookmarkEnd w:id="126"/>
    <w:p>
      <w:pPr>
        <w:spacing w:after="0"/>
        <w:rPr>
          <w:sz w:val="20"/>
          <w:szCs w:val="20"/>
          <w:color w:val="auto"/>
        </w:rPr>
      </w:pPr>
      <w:r>
        <w:rPr>
          <w:rFonts w:ascii="Arial" w:cs="Arial" w:eastAsia="Arial" w:hAnsi="Arial"/>
          <w:sz w:val="20"/>
          <w:szCs w:val="20"/>
          <w:b w:val="1"/>
          <w:bCs w:val="1"/>
          <w:color w:val="auto"/>
        </w:rPr>
        <w:t>Key First Quarter and other Corporate Highlights:</w:t>
      </w:r>
    </w:p>
    <w:p>
      <w:pPr>
        <w:spacing w:after="0" w:line="310" w:lineRule="exact"/>
        <w:rPr>
          <w:sz w:val="20"/>
          <w:szCs w:val="20"/>
          <w:color w:val="auto"/>
        </w:rPr>
      </w:pPr>
    </w:p>
    <w:p>
      <w:pPr>
        <w:ind w:left="660" w:right="80" w:hanging="328"/>
        <w:spacing w:after="0" w:line="332"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Commercial launch of EMFLAZA for the treatment of Duchenne muscular dystrophy. </w:t>
      </w:r>
      <w:r>
        <w:rPr>
          <w:rFonts w:ascii="Arial" w:cs="Arial" w:eastAsia="Arial" w:hAnsi="Arial"/>
          <w:sz w:val="18"/>
          <w:szCs w:val="18"/>
          <w:color w:val="auto"/>
        </w:rPr>
        <w:t>PTC is preparing for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launch of EMFLAZA in the U.S., which is expected to begin in the coming weeks. PTC has established programs with the goal of ensuring that eligible patients will have access to EMFLAZA regardless of financial or insurance status. Over 900 patients, about 10% of the 9,000 eligible Duchenne patients in the U.S., have already been prescribed EMFLAZA and submitted START forms.</w:t>
      </w:r>
    </w:p>
    <w:p>
      <w:pPr>
        <w:spacing w:after="0" w:line="164" w:lineRule="exact"/>
        <w:rPr>
          <w:rFonts w:ascii="Arial" w:cs="Arial" w:eastAsia="Arial" w:hAnsi="Arial"/>
          <w:sz w:val="18"/>
          <w:szCs w:val="18"/>
          <w:color w:val="auto"/>
        </w:rPr>
      </w:pPr>
    </w:p>
    <w:p>
      <w:pPr>
        <w:ind w:left="660" w:hanging="328"/>
        <w:spacing w:after="0" w:line="295" w:lineRule="auto"/>
        <w:tabs>
          <w:tab w:leader="none" w:pos="660" w:val="left"/>
        </w:tabs>
        <w:numPr>
          <w:ilvl w:val="0"/>
          <w:numId w:val="156"/>
        </w:numPr>
        <w:rPr>
          <w:rFonts w:ascii="Arial" w:cs="Arial" w:eastAsia="Arial" w:hAnsi="Arial"/>
          <w:sz w:val="20"/>
          <w:szCs w:val="20"/>
          <w:color w:val="auto"/>
        </w:rPr>
      </w:pPr>
      <w:r>
        <w:rPr>
          <w:rFonts w:ascii="Arial" w:cs="Arial" w:eastAsia="Arial" w:hAnsi="Arial"/>
          <w:sz w:val="20"/>
          <w:szCs w:val="20"/>
          <w:b w:val="1"/>
          <w:bCs w:val="1"/>
          <w:color w:val="auto"/>
        </w:rPr>
        <w:t xml:space="preserve">Review of the Translarna NDA for nonsense mutation Duchenne muscular dystrophy by the FDA in progress. </w:t>
      </w:r>
      <w:r>
        <w:rPr>
          <w:rFonts w:ascii="Arial" w:cs="Arial" w:eastAsia="Arial" w:hAnsi="Arial"/>
          <w:sz w:val="20"/>
          <w:szCs w:val="20"/>
          <w:color w:val="auto"/>
        </w:rPr>
        <w:t>The FDA</w:t>
      </w:r>
      <w:r>
        <w:rPr>
          <w:rFonts w:ascii="Arial" w:cs="Arial" w:eastAsia="Arial" w:hAnsi="Arial"/>
          <w:sz w:val="20"/>
          <w:szCs w:val="20"/>
          <w:b w:val="1"/>
          <w:bCs w:val="1"/>
          <w:color w:val="auto"/>
        </w:rPr>
        <w:t xml:space="preserve"> </w:t>
      </w:r>
      <w:r>
        <w:rPr>
          <w:rFonts w:ascii="Arial" w:cs="Arial" w:eastAsia="Arial" w:hAnsi="Arial"/>
          <w:sz w:val="20"/>
          <w:szCs w:val="20"/>
          <w:color w:val="auto"/>
        </w:rPr>
        <w:t>acknowledged PTC’s filing over protest of the New Drug Application (NDA) for Translarna for the treatment of nmDMD and assigned the company a Prescription Drug User Fee Act (PDUFA) target date of October 24, 2017.</w:t>
      </w:r>
    </w:p>
    <w:p>
      <w:pPr>
        <w:spacing w:after="0" w:line="232" w:lineRule="exact"/>
        <w:rPr>
          <w:rFonts w:ascii="Arial" w:cs="Arial" w:eastAsia="Arial" w:hAnsi="Arial"/>
          <w:sz w:val="20"/>
          <w:szCs w:val="20"/>
          <w:color w:val="auto"/>
        </w:rPr>
      </w:pPr>
    </w:p>
    <w:p>
      <w:pPr>
        <w:ind w:left="660" w:right="20" w:hanging="328"/>
        <w:spacing w:after="0" w:line="305" w:lineRule="auto"/>
        <w:tabs>
          <w:tab w:leader="none" w:pos="660" w:val="left"/>
        </w:tabs>
        <w:numPr>
          <w:ilvl w:val="0"/>
          <w:numId w:val="156"/>
        </w:numPr>
        <w:rPr>
          <w:rFonts w:ascii="Arial" w:cs="Arial" w:eastAsia="Arial" w:hAnsi="Arial"/>
          <w:sz w:val="19"/>
          <w:szCs w:val="19"/>
          <w:color w:val="auto"/>
        </w:rPr>
      </w:pPr>
      <w:r>
        <w:rPr>
          <w:rFonts w:ascii="Arial" w:cs="Arial" w:eastAsia="Arial" w:hAnsi="Arial"/>
          <w:sz w:val="19"/>
          <w:szCs w:val="19"/>
          <w:b w:val="1"/>
          <w:bCs w:val="1"/>
          <w:color w:val="auto"/>
        </w:rPr>
        <w:t xml:space="preserve">Two SMA clinical trials on track to advance into pivotal studies in 2017. </w:t>
      </w:r>
      <w:r>
        <w:rPr>
          <w:rFonts w:ascii="Arial" w:cs="Arial" w:eastAsia="Arial" w:hAnsi="Arial"/>
          <w:sz w:val="19"/>
          <w:szCs w:val="19"/>
          <w:color w:val="auto"/>
        </w:rPr>
        <w:t>The spinal muscular atrophy (SMA) program, a joint</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with Roche and the SMA Foundation, is expected to advance into two pivotal studies in 2017. The SUNFISH study in Type 2/3 patients and the FIREFISH study in Type 1 patients are both enrolling the initial dose escalation part of the respective studies. Initiation of the pivotal second part of both studies is expected in the second half of 2017 and initiation of the first pivotal study will trigger a single $20 million milestone payment to PTC from Roche. Data from the first part of the studies is expected to be presented at scientific meetings later this year and early next year.</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46"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In this press release, PTC’s financial results and financial guidance are provided in accordance with accounting principles generally accepted in the United States (GAAP) and using certain non-GAAP financial measures. In particular, non-GAAP financial measures exclude stock-based compensation expense and one-time restructuring expenses relating to the reorganization of operations intended to improve efficiency and better align costs and employment structure with PTC’s strategic plans. These non-GAAP financial measures are provided as a complement to results reported in GAAP because management uses these non-GAAP financial measures when assessing and identifying operational trends. In management's opinion, these non-GAAP financial measures are useful to investors and other users of PTC’s financial statements by providing greater transparency into the operating performance at PTC and the company's future outlook. Quantitative reconciliations of GAAP financial measures are included in the tables below.</w:t>
      </w:r>
    </w:p>
    <w:p>
      <w:pPr>
        <w:sectPr>
          <w:pgSz w:w="11900" w:h="16838" w:orient="portrait"/>
          <w:cols w:equalWidth="0" w:num="1">
            <w:col w:w="11380"/>
          </w:cols>
          <w:pgMar w:left="240" w:top="630" w:right="279" w:bottom="1440" w:gutter="0" w:footer="0" w:header="0"/>
        </w:sectPr>
      </w:pPr>
    </w:p>
    <w:bookmarkStart w:id="127" w:name="page128"/>
    <w:bookmarkEnd w:id="127"/>
    <w:p>
      <w:pPr>
        <w:spacing w:after="0" w:line="35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thousands,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93"/>
              </w:rPr>
              <w:t>March 31,</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60"/>
              <w:spacing w:after="0"/>
              <w:rPr>
                <w:sz w:val="20"/>
                <w:szCs w:val="20"/>
                <w:color w:val="auto"/>
              </w:rPr>
            </w:pPr>
            <w:r>
              <w:rPr>
                <w:rFonts w:ascii="Arial" w:cs="Arial" w:eastAsia="Arial" w:hAnsi="Arial"/>
                <w:sz w:val="18"/>
                <w:szCs w:val="18"/>
                <w:color w:val="auto"/>
              </w:rPr>
              <w:t>Net product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26,442</w:t>
            </w:r>
          </w:p>
        </w:tc>
        <w:tc>
          <w:tcPr>
            <w:tcW w:w="2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18,878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60"/>
              <w:spacing w:after="0"/>
              <w:rPr>
                <w:sz w:val="20"/>
                <w:szCs w:val="20"/>
                <w:color w:val="auto"/>
              </w:rPr>
            </w:pPr>
            <w:r>
              <w:rPr>
                <w:rFonts w:ascii="Arial" w:cs="Arial" w:eastAsia="Arial" w:hAnsi="Arial"/>
                <w:sz w:val="18"/>
                <w:szCs w:val="18"/>
                <w:color w:val="auto"/>
              </w:rPr>
              <w:t>Collaboration and grant revenue</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26,547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4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440" w:type="dxa"/>
            <w:vAlign w:val="bottom"/>
          </w:tcPr>
          <w:p>
            <w:pPr>
              <w:ind w:left="160"/>
              <w:spacing w:after="0"/>
              <w:rPr>
                <w:sz w:val="20"/>
                <w:szCs w:val="20"/>
                <w:color w:val="auto"/>
              </w:rPr>
            </w:pPr>
            <w:r>
              <w:rPr>
                <w:rFonts w:ascii="Arial" w:cs="Arial" w:eastAsia="Arial" w:hAnsi="Arial"/>
                <w:sz w:val="18"/>
                <w:szCs w:val="18"/>
                <w:color w:val="auto"/>
              </w:rPr>
              <w:t>Cost of product sales</w:t>
            </w:r>
          </w:p>
        </w:tc>
        <w:tc>
          <w:tcPr>
            <w:tcW w:w="36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60"/>
              <w:spacing w:after="0"/>
              <w:rPr>
                <w:sz w:val="20"/>
                <w:szCs w:val="20"/>
                <w:color w:val="auto"/>
              </w:rPr>
            </w:pPr>
            <w:r>
              <w:rPr>
                <w:rFonts w:ascii="Arial" w:cs="Arial" w:eastAsia="Arial" w:hAnsi="Arial"/>
                <w:sz w:val="18"/>
                <w:szCs w:val="18"/>
                <w:color w:val="auto"/>
              </w:rPr>
              <w:t>Research and development (1)</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27,363</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60"/>
              <w:spacing w:after="0"/>
              <w:rPr>
                <w:sz w:val="20"/>
                <w:szCs w:val="20"/>
                <w:color w:val="auto"/>
              </w:rPr>
            </w:pPr>
            <w:r>
              <w:rPr>
                <w:rFonts w:ascii="Arial" w:cs="Arial" w:eastAsia="Arial" w:hAnsi="Arial"/>
                <w:sz w:val="18"/>
                <w:szCs w:val="18"/>
                <w:color w:val="auto"/>
              </w:rPr>
              <w:t>Selling, general and administrative (2)</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52,902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(26,355</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(38,442</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(2,219</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(1,956</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Loss before income tax expense</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(28,892</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(41,119</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vMerge w:val="continue"/>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(29,057</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(41,233</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60"/>
              <w:spacing w:after="0"/>
              <w:rPr>
                <w:sz w:val="20"/>
                <w:szCs w:val="20"/>
                <w:color w:val="auto"/>
              </w:rPr>
            </w:pPr>
            <w:r>
              <w:rPr>
                <w:rFonts w:ascii="Arial" w:cs="Arial" w:eastAsia="Arial" w:hAnsi="Arial"/>
                <w:sz w:val="18"/>
                <w:szCs w:val="18"/>
                <w:color w:val="auto"/>
              </w:rPr>
              <w:t>Basic and diluted (in shares)</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34,305,948</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33,919,169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color w:val="auto"/>
              </w:rPr>
              <w:t>Net loss per share—basic and diluted (in dollars per share)</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440" w:type="dxa"/>
            <w:vAlign w:val="bottom"/>
            <w:vMerge w:val="continue"/>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(1) Research and development expense reconciliation</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GAAP 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27,363</w:t>
            </w:r>
          </w:p>
        </w:tc>
        <w:tc>
          <w:tcPr>
            <w:tcW w:w="2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31,399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Less: share-based compensation</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4,467</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Less: one-time restructuring cost</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Non-GAAP research and development expense</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22,896</w:t>
            </w:r>
          </w:p>
        </w:tc>
        <w:tc>
          <w:tcPr>
            <w:tcW w:w="2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(2) Selling, general and administrative expense reconciliation</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4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GAAP selling, general and administrative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2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25,938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Less: share-based compensation</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Less: one-time restructuring cost</w:t>
            </w:r>
          </w:p>
        </w:tc>
        <w:tc>
          <w:tcPr>
            <w:tcW w:w="3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Non-GAAP selling, general and administrative expense</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20,938</w:t>
            </w:r>
          </w:p>
        </w:tc>
        <w:tc>
          <w:tcPr>
            <w:tcW w:w="2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00"/>
          </w:cols>
          <w:pgMar w:left="500" w:top="1440" w:right="69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PTC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March 31, 2017</w:t>
            </w: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color w:val="auto"/>
              </w:rPr>
              <w:t>Cash, cash equivalents and marketable securities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202,577</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231,666</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248,645</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269,345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40" w:type="dxa"/>
            <w:vAlign w:val="bottom"/>
          </w:tcPr>
          <w:p>
            <w:pPr>
              <w:spacing w:after="0"/>
              <w:rPr>
                <w:sz w:val="20"/>
                <w:szCs w:val="20"/>
                <w:color w:val="auto"/>
              </w:rPr>
            </w:pPr>
            <w:r>
              <w:rPr>
                <w:rFonts w:ascii="Arial" w:cs="Arial" w:eastAsia="Arial" w:hAnsi="Arial"/>
                <w:sz w:val="18"/>
                <w:szCs w:val="18"/>
                <w:color w:val="auto"/>
              </w:rPr>
              <w:t>Total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99,895</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98,216</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0"/>
                <w:szCs w:val="20"/>
                <w:color w:val="auto"/>
              </w:rPr>
            </w:pPr>
            <w:r>
              <w:rPr>
                <w:rFonts w:ascii="Arial" w:cs="Arial" w:eastAsia="Arial" w:hAnsi="Arial"/>
                <w:sz w:val="18"/>
                <w:szCs w:val="18"/>
                <w:color w:val="auto"/>
              </w:rPr>
              <w:t>Total deferred revenue</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2,194</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147,818</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149,762</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color w:val="auto"/>
                <w:w w:val="95"/>
              </w:rPr>
              <w:t>Total stockholders’ equity (34,316,836 and 34,169,410 common shares issued and outstanding at March</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2"/>
        </w:trPr>
        <w:tc>
          <w:tcPr>
            <w:tcW w:w="7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0"/>
              <w:spacing w:after="0"/>
              <w:rPr>
                <w:sz w:val="20"/>
                <w:szCs w:val="20"/>
                <w:color w:val="auto"/>
              </w:rPr>
            </w:pPr>
            <w:r>
              <w:rPr>
                <w:rFonts w:ascii="Arial" w:cs="Arial" w:eastAsia="Arial" w:hAnsi="Arial"/>
                <w:sz w:val="18"/>
                <w:szCs w:val="18"/>
                <w:color w:val="auto"/>
              </w:rPr>
              <w:t>31, 2017 and December 31, 2016, 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100,827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119,583</w:t>
            </w:r>
          </w:p>
        </w:tc>
        <w:tc>
          <w:tcPr>
            <w:tcW w:w="0" w:type="dxa"/>
            <w:vAlign w:val="bottom"/>
          </w:tcPr>
          <w:p>
            <w:pPr>
              <w:spacing w:after="0"/>
              <w:rPr>
                <w:sz w:val="1"/>
                <w:szCs w:val="1"/>
                <w:color w:val="auto"/>
              </w:rPr>
            </w:pPr>
          </w:p>
        </w:tc>
      </w:tr>
      <w:tr>
        <w:trPr>
          <w:trHeight w:val="27"/>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4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248,645</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269,345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Today’s Conference Call and Webcast Reminder</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Today’s conference call will take place at 8:30 AM (ET) and can be access by dialing</w:t>
      </w:r>
    </w:p>
    <w:p>
      <w:pPr>
        <w:spacing w:after="0" w:line="40" w:lineRule="exact"/>
        <w:rPr>
          <w:sz w:val="20"/>
          <w:szCs w:val="20"/>
          <w:color w:val="auto"/>
        </w:rPr>
      </w:pPr>
    </w:p>
    <w:p>
      <w:pPr>
        <w:ind w:firstLine="8"/>
        <w:spacing w:after="0" w:line="288" w:lineRule="auto"/>
        <w:tabs>
          <w:tab w:leader="none" w:pos="478" w:val="left"/>
        </w:tabs>
        <w:numPr>
          <w:ilvl w:val="0"/>
          <w:numId w:val="157"/>
        </w:numPr>
        <w:rPr>
          <w:rFonts w:ascii="Arial" w:cs="Arial" w:eastAsia="Arial" w:hAnsi="Arial"/>
          <w:sz w:val="20"/>
          <w:szCs w:val="20"/>
          <w:color w:val="auto"/>
        </w:rPr>
      </w:pPr>
      <w:r>
        <w:rPr>
          <w:rFonts w:ascii="Arial" w:cs="Arial" w:eastAsia="Arial" w:hAnsi="Arial"/>
          <w:sz w:val="20"/>
          <w:szCs w:val="20"/>
          <w:color w:val="auto"/>
        </w:rPr>
        <w:t>303-9216 (domestic) or (973) 935-8152 (international) five minutes prior to the start of the call and providing the passcode 11527010. A live, listen-only webcast of the conference call can be accessed on the investor relations section of the PTC website at www.ptcbio.com. A webcast replay of the call will be available approximately two hours after completion of the call and will be archived on the company's website for two weeks.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PTC Therapeutics, Inc.</w:t>
      </w:r>
    </w:p>
    <w:p>
      <w:pPr>
        <w:spacing w:after="0" w:line="46"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PTC is a global biopharmaceutical company focused on the discovery, development, and commercialization of novel medicines using our expertise in RNA biology. PTC's internally discovered pipeline addresses multiple therapeutic areas, including rare disorders and oncology. PTC has discovered all of its compounds currently under development using its proprietary technologies. Since its founding nearly 20 years ago, PTC's mission has focused on developing treatments to fundamentally change the lives of patients living with rare genetic disorders. The company was founded in 1998 and is headquartered in South Plainfield, New Jersey. For more information on the company, please visit our website www.ptcbio.com.</w:t>
      </w:r>
    </w:p>
    <w:p>
      <w:pPr>
        <w:sectPr>
          <w:pgSz w:w="11900" w:h="16838" w:orient="portrait"/>
          <w:cols w:equalWidth="0" w:num="1">
            <w:col w:w="11340"/>
          </w:cols>
          <w:pgMar w:left="240" w:top="1440" w:right="31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b w:val="1"/>
          <w:bCs w:val="1"/>
          <w:color w:val="auto"/>
        </w:rPr>
        <w:t>For More Information:</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Emily Hill</w:t>
      </w:r>
    </w:p>
    <w:p>
      <w:pPr>
        <w:spacing w:after="0" w:line="40" w:lineRule="exact"/>
        <w:rPr>
          <w:sz w:val="20"/>
          <w:szCs w:val="20"/>
          <w:color w:val="auto"/>
        </w:rPr>
      </w:pPr>
    </w:p>
    <w:p>
      <w:pPr>
        <w:ind w:right="9780" w:firstLine="8"/>
        <w:spacing w:after="0" w:line="363" w:lineRule="auto"/>
        <w:tabs>
          <w:tab w:leader="none" w:pos="16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 (908) 912-9327 ehill@ptcbio.com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Jane Baj</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 (908) 912-9167</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jbaj@ptcbio.com</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MidCap Financial</w:t>
      </w:r>
    </w:p>
    <w:p>
      <w:pPr>
        <w:spacing w:after="0" w:line="316" w:lineRule="exact"/>
        <w:rPr>
          <w:sz w:val="20"/>
          <w:szCs w:val="20"/>
          <w:color w:val="auto"/>
        </w:rPr>
      </w:pPr>
    </w:p>
    <w:p>
      <w:pPr>
        <w:ind w:right="120"/>
        <w:spacing w:after="0" w:line="314" w:lineRule="auto"/>
        <w:rPr>
          <w:sz w:val="20"/>
          <w:szCs w:val="20"/>
          <w:color w:val="auto"/>
        </w:rPr>
      </w:pPr>
      <w:r>
        <w:rPr>
          <w:rFonts w:ascii="Arial" w:cs="Arial" w:eastAsia="Arial" w:hAnsi="Arial"/>
          <w:sz w:val="19"/>
          <w:szCs w:val="19"/>
          <w:color w:val="auto"/>
        </w:rPr>
        <w:t>MidCap Financial is a middle market-focused, specialty finance firm that provides senior debt solutions to businesses across all industries. Its debt solutions include general and healthcare asset-based working capital loans, leveraged loans to private equity-backed companies, life sciences loans to VC-backed and public companies, commercial real estate loans, and lender finance loans.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about MidCap Financial can be found at www.midcapfinancial.com</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87"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All statements, other than those of historical fact, contained in this release are forward-looking statements, including the information provided under the heading "2017 Guidance" and statements regarding: the future expectations, plans and prospects for PTC; timing of the pending commercial launch in the U.S. of EMFLAZA for the treatment of DMD; the size of the DMD patient population eligible for EMFLAZA treatment in the U.S.; the PDUFA date for the NDA; advancement of PTC's joint collaboration program in SMA, including whether and when Sunfish or Firefish may transition into the pivotal part of the applicable study and whether and when a milestone payment to PTC from Roche may be triggered; PTC's strategy, future operations, future financial position, future revenues or projected costs; and the objectives of management. Other forward-looking statements may be identified by the words "guidance", "plan," "anticipate," "believe," "estimate," "expect," "intend," "may," "target," "potential," "will," "would," "could," "should," "continue," and similar expressions.</w:t>
      </w:r>
    </w:p>
    <w:p>
      <w:pPr>
        <w:spacing w:after="0" w:line="9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PTC's actual results, performance or achievements could differ materially from those expressed or implied by forward-looking statements it makes as a result of a variety of risks and uncertainties, including those related to: PTC’s preparations for a commercial launch of EMFLAZA in the U.S., including its ability to finalize in a timely manner regulatory, distribution and commercial matters that must be concluded prior to a launch by PTC; PTC's ability to realize the anticipated benefits of the acquisition of EMFLAZA, including the possibility that the expected benefits from the acquisition will not be realized or will not be realized within the expected time period; significant transaction costs, unknown liabilities, the risk of litigation and/</w:t>
      </w:r>
    </w:p>
    <w:p>
      <w:pPr>
        <w:sectPr>
          <w:pgSz w:w="11900" w:h="16838" w:orient="portrait"/>
          <w:cols w:equalWidth="0" w:num="1">
            <w:col w:w="11340"/>
          </w:cols>
          <w:pgMar w:left="240" w:top="657" w:right="319" w:bottom="1440" w:gutter="0" w:footer="0" w:header="0"/>
        </w:sectPr>
      </w:pPr>
    </w:p>
    <w:bookmarkStart w:id="130" w:name="page131"/>
    <w:bookmarkEnd w:id="130"/>
    <w:p>
      <w:pPr>
        <w:spacing w:after="0" w:line="269" w:lineRule="auto"/>
        <w:rPr>
          <w:sz w:val="20"/>
          <w:szCs w:val="20"/>
          <w:color w:val="auto"/>
        </w:rPr>
      </w:pPr>
      <w:r>
        <w:rPr>
          <w:rFonts w:ascii="Arial" w:cs="Arial" w:eastAsia="Arial" w:hAnsi="Arial"/>
          <w:sz w:val="18"/>
          <w:szCs w:val="18"/>
          <w:color w:val="auto"/>
        </w:rPr>
        <w:t>or regulatory actions related to the acquisition of EMFLAZA, as well as other business effects, including the effects of industry, market, economic, political or regulatory conditions; changes in tax and other laws, regulations, rates and policies; the outcome of pricing, coverage and reimbursement negotiations with third party payors for EMFLAZA and Translarna; whether, and to what extent, third party payors impose additional requirements before approving EMFLAZA prescription reimbursement; PTC's ability to resolve the matters set forth in the Refuse to File letter it received from the FDA in connection with its NDA for Translarna for the treatment of nmDMD, including whether PTC's filing of the NDA over protest with the FDA will result in a timely or successful review of the NDA, and whether PTC will be required to perform additional clinical and non-clinical trials or analyses at significant cost, which, if successful, could potentially support the approval of the NDA filed over protest or a new NDA submission; PTC's ability to maintain its marketing authorization of Translarna for the treatment of nmDMD in the European Economic Area (EEA), including whether the European Medicines Agency (EMA) determines in future annual renewal cycles that the benefit-risk balance of Translarna authorization supports renewal of such authorization; PTC's ability to enroll, fund, complete and timely submit to the EMA the results of Study 041, a randomized, 18-month, placebo-controlled clinical trial of Translarna for the treatment of nmDMD followed by an 18-month open label extension, which is a specific obligation to continued marketing authorization in the EEA; the eligible patient base and commercial potential of Translarna, EMFLAZA and PTC's other product candidates; the enrollment and conduct of studies under the SMA collaboration and events during, or as a result of, the studies that could delay or prevent further development of under the program; PTC's scientific approach and general development progress; PTC’s ability to satisfy its obligations under the terms of the senior secured term loan facility with MidCap Financial; the sufficiency of PTC's cash resources and its ability to obtain adequate financing in the future for its foreseeable and unforeseeable operating expenses and capital expenditures; and the factors discussed in the "Risk Factors" section of PTC's most recent Quarterly Report on Form 10-Q as well as any updates to these risk factors filed from time to time in PTC's other filings with the SEC. You are urged to carefully consider all such factors.</w:t>
      </w:r>
    </w:p>
    <w:p>
      <w:pPr>
        <w:spacing w:after="0" w:line="8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As with any pharmaceutical under development, there are significant risks in the development, regulatory approval and commercialization of new products. There are no guarantees that any product will receive or maintain regulatory approval in any territory, or prove to be commercially successful, including Translarna or EMFLAZA.</w:t>
      </w:r>
    </w:p>
    <w:p>
      <w:pPr>
        <w:spacing w:after="0" w:line="105"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The forward-looking statements contained herein represent PTC's views only as of the date of this press release and PTC does not undertake or plan to update or revise any such forward-looking statements to reflect actual results or changes in plans, prospects, assumptions, estimates or projections, or other circumstances occurring after the date of this press release except as required by law.</w:t>
      </w:r>
    </w:p>
    <w:sectPr>
      <w:pgSz w:w="11900" w:h="16838" w:orient="portrait"/>
      <w:cols w:equalWidth="0" w:num="1">
        <w:col w:w="11420"/>
      </w:cols>
      <w:pgMar w:left="240" w:top="4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lowerRoman"/>
      <w:start w:val="1"/>
    </w:lvl>
  </w:abstractNum>
  <w:abstractNum w:abstractNumId="1">
    <w:nsid w:val="68EB2F63"/>
    <w:multiLevelType w:val="hybridMultilevel"/>
    <w:lvl w:ilvl="0">
      <w:lvlJc w:val="left"/>
      <w:lvlText w:val="•"/>
      <w:numFmt w:val="bullet"/>
      <w:start w:val="1"/>
    </w:lvl>
  </w:abstractNum>
  <w:abstractNum w:abstractNumId="2">
    <w:nsid w:val="4962813B"/>
    <w:multiLevelType w:val="hybridMultilevel"/>
    <w:lvl w:ilvl="0">
      <w:lvlJc w:val="left"/>
      <w:lvlText w:val="•"/>
      <w:numFmt w:val="bullet"/>
      <w:start w:val="1"/>
    </w:lvl>
  </w:abstractNum>
  <w:abstractNum w:abstractNumId="3">
    <w:nsid w:val="60B6DF70"/>
    <w:multiLevelType w:val="hybridMultilevel"/>
    <w:lvl w:ilvl="0">
      <w:lvlJc w:val="left"/>
      <w:lvlText w:val="•"/>
      <w:numFmt w:val="bullet"/>
      <w:start w:val="1"/>
    </w:lvl>
  </w:abstractNum>
  <w:abstractNum w:abstractNumId="4">
    <w:nsid w:val="6A5EE64"/>
    <w:multiLevelType w:val="hybridMultilevel"/>
    <w:lvl w:ilvl="0">
      <w:lvlJc w:val="left"/>
      <w:lvlText w:val="•"/>
      <w:numFmt w:val="bullet"/>
      <w:start w:val="1"/>
    </w:lvl>
  </w:abstractNum>
  <w:abstractNum w:abstractNumId="5">
    <w:nsid w:val="14330624"/>
    <w:multiLevelType w:val="hybridMultilevel"/>
    <w:lvl w:ilvl="0">
      <w:lvlJc w:val="left"/>
      <w:lvlText w:val="(%1)"/>
      <w:numFmt w:val="lowerLetter"/>
      <w:start w:val="4"/>
    </w:lvl>
  </w:abstractNum>
  <w:abstractNum w:abstractNumId="6">
    <w:nsid w:val="7FFFCA11"/>
    <w:multiLevelType w:val="hybridMultilevel"/>
    <w:lvl w:ilvl="0">
      <w:lvlJc w:val="left"/>
      <w:lvlText w:val="(%1)"/>
      <w:numFmt w:val="lowerLetter"/>
      <w:start w:val="3"/>
    </w:lvl>
  </w:abstractNum>
  <w:abstractNum w:abstractNumId="7">
    <w:nsid w:val="1A27709E"/>
    <w:multiLevelType w:val="hybridMultilevel"/>
    <w:lvl w:ilvl="0">
      <w:lvlJc w:val="left"/>
      <w:lvlText w:val="(%1)"/>
      <w:numFmt w:val="lowerLetter"/>
      <w:start w:val="3"/>
    </w:lvl>
  </w:abstractNum>
  <w:abstractNum w:abstractNumId="8">
    <w:nsid w:val="71EA1109"/>
    <w:multiLevelType w:val="hybridMultilevel"/>
    <w:lvl w:ilvl="0">
      <w:lvlJc w:val="left"/>
      <w:lvlText w:val="(%1)"/>
      <w:numFmt w:val="lowerLetter"/>
      <w:start w:val="11"/>
    </w:lvl>
  </w:abstractNum>
  <w:abstractNum w:abstractNumId="9">
    <w:nsid w:val="100F59DC"/>
    <w:multiLevelType w:val="hybridMultilevel"/>
    <w:lvl w:ilvl="0">
      <w:lvlJc w:val="left"/>
      <w:lvlText w:val="(%1)"/>
      <w:numFmt w:val="lowerLetter"/>
      <w:start w:val="2"/>
    </w:lvl>
  </w:abstractNum>
  <w:abstractNum w:abstractNumId="10">
    <w:nsid w:val="7FB7E0AA"/>
    <w:multiLevelType w:val="hybridMultilevel"/>
    <w:lvl w:ilvl="0">
      <w:lvlJc w:val="left"/>
      <w:lvlText w:val="(%1)"/>
      <w:numFmt w:val="lowerRoman"/>
      <w:start w:val="1"/>
    </w:lvl>
  </w:abstractNum>
  <w:abstractNum w:abstractNumId="11">
    <w:nsid w:val="6EB5BD4"/>
    <w:multiLevelType w:val="hybridMultilevel"/>
    <w:lvl w:ilvl="0">
      <w:lvlJc w:val="left"/>
      <w:lvlText w:val="(%1)"/>
      <w:numFmt w:val="lowerLetter"/>
      <w:start w:val="1"/>
    </w:lvl>
  </w:abstractNum>
  <w:abstractNum w:abstractNumId="12">
    <w:nsid w:val="6F6DD9AC"/>
    <w:multiLevelType w:val="hybridMultilevel"/>
    <w:lvl w:ilvl="0">
      <w:lvlJc w:val="left"/>
      <w:lvlText w:val="§"/>
      <w:numFmt w:val="bullet"/>
      <w:start w:val="1"/>
    </w:lvl>
  </w:abstractNum>
  <w:abstractNum w:abstractNumId="13">
    <w:nsid w:val="94211F2"/>
    <w:multiLevelType w:val="hybridMultilevel"/>
    <w:lvl w:ilvl="0">
      <w:lvlJc w:val="left"/>
      <w:lvlText w:val="(%1)"/>
      <w:numFmt w:val="lowerLetter"/>
      <w:start w:val="4"/>
    </w:lvl>
  </w:abstractNum>
  <w:abstractNum w:abstractNumId="14">
    <w:nsid w:val="885E1B"/>
    <w:multiLevelType w:val="hybridMultilevel"/>
    <w:lvl w:ilvl="0">
      <w:lvlJc w:val="left"/>
      <w:lvlText w:val="(%1)"/>
      <w:numFmt w:val="lowerLetter"/>
      <w:start w:val="1"/>
    </w:lvl>
  </w:abstractNum>
  <w:abstractNum w:abstractNumId="15">
    <w:nsid w:val="76272110"/>
    <w:multiLevelType w:val="hybridMultilevel"/>
    <w:lvl w:ilvl="0">
      <w:lvlJc w:val="left"/>
      <w:lvlText w:val="(%1)"/>
      <w:numFmt w:val="lowerLetter"/>
      <w:start w:val="4"/>
    </w:lvl>
  </w:abstractNum>
  <w:abstractNum w:abstractNumId="16">
    <w:nsid w:val="4C04A8AF"/>
    <w:multiLevelType w:val="hybridMultilevel"/>
    <w:lvl w:ilvl="0">
      <w:lvlJc w:val="left"/>
      <w:lvlText w:val="(%1)"/>
      <w:numFmt w:val="lowerLetter"/>
      <w:start w:val="1"/>
    </w:lvl>
  </w:abstractNum>
  <w:abstractNum w:abstractNumId="17">
    <w:nsid w:val="1716703B"/>
    <w:multiLevelType w:val="hybridMultilevel"/>
    <w:lvl w:ilvl="0">
      <w:lvlJc w:val="left"/>
      <w:lvlText w:val="(%1)"/>
      <w:numFmt w:val="lowerLetter"/>
      <w:start w:val="7"/>
    </w:lvl>
  </w:abstractNum>
  <w:abstractNum w:abstractNumId="18">
    <w:nsid w:val="14E17E33"/>
    <w:multiLevelType w:val="hybridMultilevel"/>
    <w:lvl w:ilvl="0">
      <w:lvlJc w:val="left"/>
      <w:lvlText w:val="(%1)"/>
      <w:numFmt w:val="lowerLetter"/>
      <w:start w:val="1"/>
    </w:lvl>
  </w:abstractNum>
  <w:abstractNum w:abstractNumId="19">
    <w:nsid w:val="3222E7CD"/>
    <w:multiLevelType w:val="hybridMultilevel"/>
    <w:lvl w:ilvl="0">
      <w:lvlJc w:val="left"/>
      <w:lvlText w:val="(%1)"/>
      <w:numFmt w:val="lowerLetter"/>
      <w:start w:val="9"/>
    </w:lvl>
  </w:abstractNum>
  <w:abstractNum w:abstractNumId="20">
    <w:nsid w:val="74DE0EE3"/>
    <w:multiLevelType w:val="hybridMultilevel"/>
    <w:lvl w:ilvl="0">
      <w:lvlJc w:val="left"/>
      <w:lvlText w:val="(%1)"/>
      <w:numFmt w:val="lowerLetter"/>
      <w:start w:val="1"/>
    </w:lvl>
  </w:abstractNum>
  <w:abstractNum w:abstractNumId="21">
    <w:nsid w:val="68EBC550"/>
    <w:multiLevelType w:val="hybridMultilevel"/>
    <w:lvl w:ilvl="0">
      <w:lvlJc w:val="left"/>
      <w:lvlText w:val="(%1)"/>
      <w:numFmt w:val="lowerLetter"/>
      <w:start w:val="7"/>
    </w:lvl>
  </w:abstractNum>
  <w:abstractNum w:abstractNumId="22">
    <w:nsid w:val="2DF6D648"/>
    <w:multiLevelType w:val="hybridMultilevel"/>
    <w:lvl w:ilvl="0">
      <w:lvlJc w:val="left"/>
      <w:lvlText w:val="(%1)"/>
      <w:numFmt w:val="lowerLetter"/>
      <w:start w:val="1"/>
    </w:lvl>
  </w:abstractNum>
  <w:abstractNum w:abstractNumId="23">
    <w:nsid w:val="46B7D447"/>
    <w:multiLevelType w:val="hybridMultilevel"/>
    <w:lvl w:ilvl="0">
      <w:lvlJc w:val="left"/>
      <w:lvlText w:val="(%1)"/>
      <w:numFmt w:val="lowerLetter"/>
      <w:start w:val="5"/>
    </w:lvl>
  </w:abstractNum>
  <w:abstractNum w:abstractNumId="24">
    <w:nsid w:val="4A2AC315"/>
    <w:multiLevelType w:val="hybridMultilevel"/>
    <w:lvl w:ilvl="0">
      <w:lvlJc w:val="left"/>
      <w:lvlText w:val="(%1)"/>
      <w:numFmt w:val="lowerLetter"/>
      <w:start w:val="1"/>
    </w:lvl>
  </w:abstractNum>
  <w:abstractNum w:abstractNumId="25">
    <w:nsid w:val="39EE015C"/>
    <w:multiLevelType w:val="hybridMultilevel"/>
    <w:lvl w:ilvl="0">
      <w:lvlJc w:val="left"/>
      <w:lvlText w:val="(%1)"/>
      <w:numFmt w:val="lowerLetter"/>
      <w:start w:val="8"/>
    </w:lvl>
  </w:abstractNum>
  <w:abstractNum w:abstractNumId="26">
    <w:nsid w:val="57FC4FBB"/>
    <w:multiLevelType w:val="hybridMultilevel"/>
    <w:lvl w:ilvl="0">
      <w:lvlJc w:val="left"/>
      <w:lvlText w:val="(%1)"/>
      <w:numFmt w:val="lowerLetter"/>
      <w:start w:val="2"/>
    </w:lvl>
  </w:abstractNum>
  <w:abstractNum w:abstractNumId="27">
    <w:nsid w:val="CC1016F"/>
    <w:multiLevelType w:val="hybridMultilevel"/>
    <w:lvl w:ilvl="0">
      <w:lvlJc w:val="left"/>
      <w:lvlText w:val="(%1)"/>
      <w:numFmt w:val="lowerLetter"/>
      <w:start w:val="1"/>
    </w:lvl>
    <w:lvl w:ilvl="1">
      <w:lvlJc w:val="left"/>
      <w:lvlText w:val="(%2)"/>
      <w:numFmt w:val="lowerLetter"/>
      <w:start w:val="9"/>
    </w:lvl>
  </w:abstractNum>
  <w:abstractNum w:abstractNumId="28">
    <w:nsid w:val="43F1842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9">
    <w:nsid w:val="60EF0119"/>
    <w:multiLevelType w:val="hybridMultilevel"/>
    <w:lvl w:ilvl="0">
      <w:lvlJc w:val="left"/>
      <w:lvlText w:val="(%1)"/>
      <w:numFmt w:val="lowerRoman"/>
      <w:start w:val="2"/>
    </w:lvl>
    <w:lvl w:ilvl="1">
      <w:lvlJc w:val="left"/>
      <w:lvlText w:val="(%2)"/>
      <w:numFmt w:val="upperLetter"/>
      <w:start w:val="1"/>
    </w:lvl>
    <w:lvl w:ilvl="2">
      <w:lvlJc w:val="left"/>
      <w:lvlText w:val="(%3)"/>
      <w:numFmt w:val="lowerRoman"/>
      <w:start w:val="1"/>
    </w:lvl>
  </w:abstractNum>
  <w:abstractNum w:abstractNumId="30">
    <w:nsid w:val="26F324BA"/>
    <w:multiLevelType w:val="hybridMultilevel"/>
    <w:lvl w:ilvl="0">
      <w:lvlJc w:val="left"/>
      <w:lvlText w:val="(%1)"/>
      <w:numFmt w:val="lowerRoman"/>
      <w:start w:val="2"/>
    </w:lvl>
  </w:abstractNum>
  <w:abstractNum w:abstractNumId="31">
    <w:nsid w:val="7F01579B"/>
    <w:multiLevelType w:val="hybridMultilevel"/>
    <w:lvl w:ilvl="0">
      <w:lvlJc w:val="left"/>
      <w:lvlText w:val="%1"/>
      <w:numFmt w:val="lowerRoman"/>
      <w:start w:val="1"/>
    </w:lvl>
    <w:lvl w:ilvl="1">
      <w:lvlJc w:val="left"/>
      <w:lvlText w:val="(%2)"/>
      <w:numFmt w:val="upperLetter"/>
      <w:start w:val="3"/>
    </w:lvl>
  </w:abstractNum>
  <w:abstractNum w:abstractNumId="32">
    <w:nsid w:val="49DA307D"/>
    <w:multiLevelType w:val="hybridMultilevel"/>
    <w:lvl w:ilvl="0">
      <w:lvlJc w:val="left"/>
      <w:lvlText w:val="(%1)"/>
      <w:numFmt w:val="lowerRoman"/>
      <w:start w:val="3"/>
    </w:lvl>
    <w:lvl w:ilvl="1">
      <w:lvlJc w:val="left"/>
      <w:lvlText w:val="%2"/>
      <w:numFmt w:val="upperLetter"/>
      <w:start w:val="1"/>
    </w:lvl>
  </w:abstractNum>
  <w:abstractNum w:abstractNumId="33">
    <w:nsid w:val="7055A5F5"/>
    <w:multiLevelType w:val="hybridMultilevel"/>
    <w:lvl w:ilvl="0">
      <w:lvlJc w:val="left"/>
      <w:lvlText w:val="(%1)"/>
      <w:numFmt w:val="lowerLetter"/>
      <w:start w:val="6"/>
    </w:lvl>
  </w:abstractNum>
  <w:abstractNum w:abstractNumId="34">
    <w:nsid w:val="5FB8370B"/>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35">
    <w:nsid w:val="50801EE1"/>
    <w:multiLevelType w:val="hybridMultilevel"/>
    <w:lvl w:ilvl="0">
      <w:lvlJc w:val="left"/>
      <w:lvlText w:val="(%1)"/>
      <w:numFmt w:val="upperLetter"/>
      <w:start w:val="35"/>
    </w:lvl>
    <w:lvl w:ilvl="1">
      <w:lvlJc w:val="left"/>
      <w:lvlText w:val="(%2)"/>
      <w:numFmt w:val="lowerLetter"/>
      <w:start w:val="1"/>
    </w:lvl>
    <w:lvl w:ilvl="2">
      <w:lvlJc w:val="left"/>
      <w:lvlText w:val="(%3)"/>
      <w:numFmt w:val="upperLetter"/>
      <w:start w:val="3"/>
    </w:lvl>
  </w:abstractNum>
  <w:abstractNum w:abstractNumId="36">
    <w:nsid w:val="488AC1A"/>
    <w:multiLevelType w:val="hybridMultilevel"/>
    <w:lvl w:ilvl="0">
      <w:lvlJc w:val="left"/>
      <w:lvlText w:val="(%1)"/>
      <w:numFmt w:val="lowerLetter"/>
      <w:start w:val="1"/>
    </w:lvl>
  </w:abstractNum>
  <w:abstractNum w:abstractNumId="37">
    <w:nsid w:val="5FB8011C"/>
    <w:multiLevelType w:val="hybridMultilevel"/>
    <w:lvl w:ilvl="0">
      <w:lvlJc w:val="left"/>
      <w:lvlText w:val="(%1)"/>
      <w:numFmt w:val="lowerLetter"/>
      <w:start w:val="2"/>
    </w:lvl>
  </w:abstractNum>
  <w:abstractNum w:abstractNumId="38">
    <w:nsid w:val="6AA78F7F"/>
    <w:multiLevelType w:val="hybridMultilevel"/>
    <w:lvl w:ilvl="0">
      <w:lvlJc w:val="left"/>
      <w:lvlText w:val="(%1)"/>
      <w:numFmt w:val="lowerLetter"/>
      <w:start w:val="13"/>
    </w:lvl>
  </w:abstractNum>
  <w:abstractNum w:abstractNumId="39">
    <w:nsid w:val="7672BD23"/>
    <w:multiLevelType w:val="hybridMultilevel"/>
    <w:lvl w:ilvl="0">
      <w:lvlJc w:val="left"/>
      <w:lvlText w:val="(%1)"/>
      <w:numFmt w:val="lowerLetter"/>
      <w:start w:val="1"/>
    </w:lvl>
  </w:abstractNum>
  <w:abstractNum w:abstractNumId="40">
    <w:nsid w:val="6FC75AF8"/>
    <w:multiLevelType w:val="hybridMultilevel"/>
    <w:lvl w:ilvl="0">
      <w:lvlJc w:val="left"/>
      <w:lvlText w:val="(%1)"/>
      <w:numFmt w:val="lowerLetter"/>
      <w:start w:val="2"/>
    </w:lvl>
  </w:abstractNum>
  <w:abstractNum w:abstractNumId="41">
    <w:nsid w:val="6A5F7029"/>
    <w:multiLevelType w:val="hybridMultilevel"/>
    <w:lvl w:ilvl="0">
      <w:lvlJc w:val="left"/>
      <w:lvlText w:val="(%1)"/>
      <w:numFmt w:val="lowerLetter"/>
      <w:start w:val="1"/>
    </w:lvl>
  </w:abstractNum>
  <w:abstractNum w:abstractNumId="42">
    <w:nsid w:val="7D5E18F8"/>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43">
    <w:nsid w:val="5F3534A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44">
    <w:nsid w:val="73A1821B"/>
    <w:multiLevelType w:val="hybridMultilevel"/>
    <w:lvl w:ilvl="0">
      <w:lvlJc w:val="left"/>
      <w:lvlText w:val="%1"/>
      <w:numFmt w:val="lowerLetter"/>
      <w:start w:val="1"/>
    </w:lvl>
    <w:lvl w:ilvl="1">
      <w:lvlJc w:val="left"/>
      <w:lvlText w:val="(%2)"/>
      <w:numFmt w:val="lowerRoman"/>
      <w:start w:val="2"/>
    </w:lvl>
  </w:abstractNum>
  <w:abstractNum w:abstractNumId="45">
    <w:nsid w:val="7DE67713"/>
    <w:multiLevelType w:val="hybridMultilevel"/>
    <w:lvl w:ilvl="0">
      <w:lvlJc w:val="left"/>
      <w:lvlText w:val="(%1)"/>
      <w:numFmt w:val="lowerLetter"/>
      <w:start w:val="4"/>
    </w:lvl>
    <w:lvl w:ilvl="1">
      <w:lvlJc w:val="left"/>
      <w:lvlText w:val="%2"/>
      <w:numFmt w:val="lowerRoman"/>
      <w:start w:val="1"/>
    </w:lvl>
  </w:abstractNum>
  <w:abstractNum w:abstractNumId="46">
    <w:nsid w:val="555C55B5"/>
    <w:multiLevelType w:val="hybridMultilevel"/>
    <w:lvl w:ilvl="0">
      <w:lvlJc w:val="left"/>
      <w:lvlText w:val="(%1)"/>
      <w:numFmt w:val="lowerLetter"/>
      <w:start w:val="5"/>
    </w:lvl>
  </w:abstractNum>
  <w:abstractNum w:abstractNumId="47">
    <w:nsid w:val="3FA62ACA"/>
    <w:multiLevelType w:val="hybridMultilevel"/>
    <w:lvl w:ilvl="0">
      <w:lvlJc w:val="left"/>
      <w:lvlText w:val="(%1)"/>
      <w:numFmt w:val="lowerRoman"/>
      <w:start w:val="1"/>
    </w:lvl>
  </w:abstractNum>
  <w:abstractNum w:abstractNumId="48">
    <w:nsid w:val="14FCE74E"/>
    <w:multiLevelType w:val="hybridMultilevel"/>
    <w:lvl w:ilvl="0">
      <w:lvlJc w:val="left"/>
      <w:lvlText w:val="(%1)"/>
      <w:numFmt w:val="lowerLetter"/>
      <w:start w:val="1"/>
    </w:lvl>
  </w:abstractNum>
  <w:abstractNum w:abstractNumId="49">
    <w:nsid w:val="6A3DD3E8"/>
    <w:multiLevelType w:val="hybridMultilevel"/>
    <w:lvl w:ilvl="0">
      <w:lvlJc w:val="left"/>
      <w:lvlText w:val="(%1)"/>
      <w:numFmt w:val="lowerLetter"/>
      <w:start w:val="3"/>
    </w:lvl>
  </w:abstractNum>
  <w:abstractNum w:abstractNumId="50">
    <w:nsid w:val="71C91298"/>
    <w:multiLevelType w:val="hybridMultilevel"/>
    <w:lvl w:ilvl="0">
      <w:lvlJc w:val="left"/>
      <w:lvlText w:val="(%1)"/>
      <w:numFmt w:val="lowerLetter"/>
      <w:start w:val="1"/>
    </w:lvl>
  </w:abstractNum>
  <w:abstractNum w:abstractNumId="51">
    <w:nsid w:val="9DAF632"/>
    <w:multiLevelType w:val="hybridMultilevel"/>
    <w:lvl w:ilvl="0">
      <w:lvlJc w:val="left"/>
      <w:lvlText w:val="%1"/>
      <w:numFmt w:val="lowerLetter"/>
      <w:start w:val="1"/>
    </w:lvl>
    <w:lvl w:ilvl="1">
      <w:lvlJc w:val="left"/>
      <w:lvlText w:val="(%2)"/>
      <w:numFmt w:val="lowerLetter"/>
      <w:start w:val="3"/>
    </w:lvl>
  </w:abstractNum>
  <w:abstractNum w:abstractNumId="52">
    <w:nsid w:val="53299938"/>
    <w:multiLevelType w:val="hybridMultilevel"/>
    <w:lvl w:ilvl="0">
      <w:lvlJc w:val="left"/>
      <w:lvlText w:val="(%1)"/>
      <w:numFmt w:val="lowerLetter"/>
      <w:start w:val="9"/>
    </w:lvl>
    <w:lvl w:ilvl="1">
      <w:lvlJc w:val="left"/>
      <w:lvlText w:val="(%2)"/>
      <w:numFmt w:val="lowerLetter"/>
      <w:start w:val="5"/>
    </w:lvl>
  </w:abstractNum>
  <w:abstractNum w:abstractNumId="53">
    <w:nsid w:val="1FBFE8E0"/>
    <w:multiLevelType w:val="hybridMultilevel"/>
    <w:lvl w:ilvl="0">
      <w:lvlJc w:val="left"/>
      <w:lvlText w:val="(%1)"/>
      <w:numFmt w:val="lowerLetter"/>
      <w:start w:val="1"/>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1"/>
    </w:lvl>
  </w:abstractNum>
  <w:abstractNum w:abstractNumId="56">
    <w:nsid w:val="59ADEA3D"/>
    <w:multiLevelType w:val="hybridMultilevel"/>
    <w:lvl w:ilvl="0">
      <w:lvlJc w:val="left"/>
      <w:lvlText w:val="(%1)"/>
      <w:numFmt w:val="lowerLetter"/>
      <w:start w:val="1"/>
    </w:lvl>
  </w:abstractNum>
  <w:abstractNum w:abstractNumId="57">
    <w:nsid w:val="288F1A34"/>
    <w:multiLevelType w:val="hybridMultilevel"/>
    <w:lvl w:ilvl="0">
      <w:lvlJc w:val="left"/>
      <w:lvlText w:val="(%1)"/>
      <w:numFmt w:val="lowerLetter"/>
      <w:start w:val="2"/>
    </w:lvl>
  </w:abstractNum>
  <w:abstractNum w:abstractNumId="58">
    <w:nsid w:val="2A155DBC"/>
    <w:multiLevelType w:val="hybridMultilevel"/>
    <w:lvl w:ilvl="0">
      <w:lvlJc w:val="left"/>
      <w:lvlText w:val="(%1)"/>
      <w:numFmt w:val="lowerLetter"/>
      <w:start w:val="4"/>
    </w:lvl>
  </w:abstractNum>
  <w:abstractNum w:abstractNumId="59">
    <w:nsid w:val="1D9F6E5F"/>
    <w:multiLevelType w:val="hybridMultilevel"/>
    <w:lvl w:ilvl="0">
      <w:lvlJc w:val="left"/>
      <w:lvlText w:val="(%1)"/>
      <w:numFmt w:val="lowerLetter"/>
      <w:start w:val="1"/>
    </w:lvl>
  </w:abstractNum>
  <w:abstractNum w:abstractNumId="60">
    <w:nsid w:val="97E1B4E"/>
    <w:multiLevelType w:val="hybridMultilevel"/>
    <w:lvl w:ilvl="0">
      <w:lvlJc w:val="left"/>
      <w:lvlText w:val="%1"/>
      <w:numFmt w:val="decimal"/>
      <w:start w:val="1"/>
    </w:lvl>
    <w:lvl w:ilvl="1">
      <w:lvlJc w:val="left"/>
      <w:lvlText w:val="(%2)"/>
      <w:numFmt w:val="lowerLetter"/>
      <w:start w:val="7"/>
    </w:lvl>
  </w:abstractNum>
  <w:abstractNum w:abstractNumId="61">
    <w:nsid w:val="51088277"/>
    <w:multiLevelType w:val="hybridMultilevel"/>
    <w:lvl w:ilvl="0">
      <w:lvlJc w:val="left"/>
      <w:lvlText w:val="(%1)"/>
      <w:numFmt w:val="decimal"/>
      <w:start w:val="45"/>
    </w:lvl>
    <w:lvl w:ilvl="1">
      <w:lvlJc w:val="left"/>
      <w:lvlText w:val="(%2)"/>
      <w:numFmt w:val="lowerLetter"/>
      <w:start w:val="11"/>
    </w:lvl>
  </w:abstractNum>
  <w:abstractNum w:abstractNumId="62">
    <w:nsid w:val="1CA0C5FA"/>
    <w:multiLevelType w:val="hybridMultilevel"/>
    <w:lvl w:ilvl="0">
      <w:lvlJc w:val="left"/>
      <w:lvlText w:val="(%1)"/>
      <w:numFmt w:val="lowerLetter"/>
      <w:start w:val="3"/>
    </w:lvl>
  </w:abstractNum>
  <w:abstractNum w:abstractNumId="63">
    <w:nsid w:val="53584BCB"/>
    <w:multiLevelType w:val="hybridMultilevel"/>
    <w:lvl w:ilvl="0">
      <w:lvlJc w:val="left"/>
      <w:lvlText w:val="(%1)"/>
      <w:numFmt w:val="lowerLetter"/>
      <w:start w:val="1"/>
    </w:lvl>
  </w:abstractNum>
  <w:abstractNum w:abstractNumId="64">
    <w:nsid w:val="415E286C"/>
    <w:multiLevelType w:val="hybridMultilevel"/>
    <w:lvl w:ilvl="0">
      <w:lvlJc w:val="left"/>
      <w:lvlText w:val="(%1)"/>
      <w:numFmt w:val="lowerLetter"/>
      <w:start w:val="22"/>
    </w:lvl>
    <w:lvl w:ilvl="1">
      <w:lvlJc w:val="left"/>
      <w:lvlText w:val="(%2)"/>
      <w:numFmt w:val="lowerLetter"/>
      <w:start w:val="5"/>
    </w:lvl>
  </w:abstractNum>
  <w:abstractNum w:abstractNumId="65">
    <w:nsid w:val="7C58FD05"/>
    <w:multiLevelType w:val="hybridMultilevel"/>
    <w:lvl w:ilvl="0">
      <w:lvlJc w:val="left"/>
      <w:lvlText w:val="(%1)"/>
      <w:numFmt w:val="lowerRoman"/>
      <w:start w:val="2"/>
    </w:lvl>
  </w:abstractNum>
  <w:abstractNum w:abstractNumId="66">
    <w:nsid w:val="23D86AAC"/>
    <w:multiLevelType w:val="hybridMultilevel"/>
    <w:lvl w:ilvl="0">
      <w:lvlJc w:val="left"/>
      <w:lvlText w:val="%1"/>
      <w:numFmt w:val="upperLetter"/>
      <w:start w:val="1"/>
    </w:lvl>
    <w:lvl w:ilvl="1">
      <w:lvlJc w:val="left"/>
      <w:lvlText w:val="(%2)"/>
      <w:numFmt w:val="lowerLetter"/>
      <w:start w:val="1"/>
    </w:lvl>
  </w:abstractNum>
  <w:abstractNum w:abstractNumId="67">
    <w:nsid w:val="45E6D486"/>
    <w:multiLevelType w:val="hybridMultilevel"/>
    <w:lvl w:ilvl="0">
      <w:lvlJc w:val="left"/>
      <w:lvlText w:val="(%1)"/>
      <w:numFmt w:val="upperLetter"/>
      <w:start w:val="2"/>
    </w:lvl>
    <w:lvl w:ilvl="1">
      <w:lvlJc w:val="left"/>
      <w:lvlText w:val="(%2)"/>
      <w:numFmt w:val="lowerLetter"/>
      <w:start w:val="3"/>
    </w:lvl>
  </w:abstractNum>
  <w:abstractNum w:abstractNumId="68">
    <w:nsid w:val="5C10FE21"/>
    <w:multiLevelType w:val="hybridMultilevel"/>
    <w:lvl w:ilvl="0">
      <w:lvlJc w:val="left"/>
      <w:lvlText w:val="(%1)"/>
      <w:numFmt w:val="lowerLetter"/>
      <w:start w:val="1"/>
    </w:lvl>
  </w:abstractNum>
  <w:abstractNum w:abstractNumId="69">
    <w:nsid w:val="E7FFA2B"/>
    <w:multiLevelType w:val="hybridMultilevel"/>
    <w:lvl w:ilvl="0">
      <w:lvlJc w:val="left"/>
      <w:lvlText w:val="(%1)"/>
      <w:numFmt w:val="lowerLetter"/>
      <w:start w:val="2"/>
    </w:lvl>
  </w:abstractNum>
  <w:abstractNum w:abstractNumId="70">
    <w:nsid w:val="3C5991AA"/>
    <w:multiLevelType w:val="hybridMultilevel"/>
    <w:lvl w:ilvl="0">
      <w:lvlJc w:val="left"/>
      <w:lvlText w:val="(%1)"/>
      <w:numFmt w:val="lowerLetter"/>
      <w:start w:val="1"/>
    </w:lvl>
  </w:abstractNum>
  <w:abstractNum w:abstractNumId="71">
    <w:nsid w:val="4BD8591A"/>
    <w:multiLevelType w:val="hybridMultilevel"/>
    <w:lvl w:ilvl="0">
      <w:lvlJc w:val="left"/>
      <w:lvlText w:val="(%1)"/>
      <w:numFmt w:val="lowerLetter"/>
      <w:start w:val="5"/>
    </w:lvl>
  </w:abstractNum>
  <w:abstractNum w:abstractNumId="72">
    <w:nsid w:val="78DF6A55"/>
    <w:multiLevelType w:val="hybridMultilevel"/>
    <w:lvl w:ilvl="0">
      <w:lvlJc w:val="left"/>
      <w:lvlText w:val="(%1)"/>
      <w:numFmt w:val="lowerLetter"/>
      <w:start w:val="6"/>
    </w:lvl>
  </w:abstractNum>
  <w:abstractNum w:abstractNumId="73">
    <w:nsid w:val="39B7AAA2"/>
    <w:multiLevelType w:val="hybridMultilevel"/>
    <w:lvl w:ilvl="0">
      <w:lvlJc w:val="left"/>
      <w:lvlText w:val="(%1)"/>
      <w:numFmt w:val="lowerLetter"/>
      <w:start w:val="1"/>
    </w:lvl>
  </w:abstractNum>
  <w:abstractNum w:abstractNumId="74">
    <w:nsid w:val="2B0D8DBE"/>
    <w:multiLevelType w:val="hybridMultilevel"/>
    <w:lvl w:ilvl="0">
      <w:lvlJc w:val="left"/>
      <w:lvlText w:val="(%1)"/>
      <w:numFmt w:val="lowerLetter"/>
      <w:start w:val="1"/>
    </w:lvl>
  </w:abstractNum>
  <w:abstractNum w:abstractNumId="75">
    <w:nsid w:val="6C80EC70"/>
    <w:multiLevelType w:val="hybridMultilevel"/>
    <w:lvl w:ilvl="0">
      <w:lvlJc w:val="left"/>
      <w:lvlText w:val="(%1)"/>
      <w:numFmt w:val="lowerLetter"/>
      <w:start w:val="1"/>
    </w:lvl>
  </w:abstractNum>
  <w:abstractNum w:abstractNumId="76">
    <w:nsid w:val="379E21B5"/>
    <w:multiLevelType w:val="hybridMultilevel"/>
    <w:lvl w:ilvl="0">
      <w:lvlJc w:val="left"/>
      <w:lvlText w:val="(%1)"/>
      <w:numFmt w:val="lowerLetter"/>
      <w:start w:val="2"/>
    </w:lvl>
  </w:abstractNum>
  <w:abstractNum w:abstractNumId="77">
    <w:nsid w:val="69E373"/>
    <w:multiLevelType w:val="hybridMultilevel"/>
    <w:lvl w:ilvl="0">
      <w:lvlJc w:val="left"/>
      <w:lvlText w:val="%1"/>
      <w:numFmt w:val="lowerLetter"/>
      <w:start w:val="1"/>
    </w:lvl>
    <w:lvl w:ilvl="1">
      <w:lvlJc w:val="left"/>
      <w:lvlText w:val="(%2)"/>
      <w:numFmt w:val="lowerLetter"/>
      <w:start w:val="1"/>
    </w:lvl>
  </w:abstractNum>
  <w:abstractNum w:abstractNumId="78">
    <w:nsid w:val="2C27173B"/>
    <w:multiLevelType w:val="hybridMultilevel"/>
    <w:lvl w:ilvl="0">
      <w:lvlJc w:val="left"/>
      <w:lvlText w:val="(%1)"/>
      <w:numFmt w:val="lowerLetter"/>
      <w:start w:val="61"/>
    </w:lvl>
    <w:lvl w:ilvl="1">
      <w:lvlJc w:val="left"/>
      <w:lvlText w:val="%2"/>
      <w:numFmt w:val="lowerLetter"/>
      <w:start w:val="1"/>
    </w:lvl>
  </w:abstractNum>
  <w:abstractNum w:abstractNumId="79">
    <w:nsid w:val="4C9B0904"/>
    <w:multiLevelType w:val="hybridMultilevel"/>
    <w:lvl w:ilvl="0">
      <w:lvlJc w:val="left"/>
      <w:lvlText w:val="(%1)"/>
      <w:numFmt w:val="lowerLetter"/>
      <w:start w:val="2"/>
    </w:lvl>
  </w:abstractNum>
  <w:abstractNum w:abstractNumId="80">
    <w:nsid w:val="6AA7B75C"/>
    <w:multiLevelType w:val="hybridMultilevel"/>
    <w:lvl w:ilvl="0">
      <w:lvlJc w:val="left"/>
      <w:lvlText w:val="(%1)"/>
      <w:numFmt w:val="lowerLetter"/>
      <w:start w:val="1"/>
    </w:lvl>
  </w:abstractNum>
  <w:abstractNum w:abstractNumId="81">
    <w:nsid w:val="1DF029D3"/>
    <w:multiLevelType w:val="hybridMultilevel"/>
    <w:lvl w:ilvl="0">
      <w:lvlJc w:val="left"/>
      <w:lvlText w:val="(%1)"/>
      <w:numFmt w:val="lowerLetter"/>
      <w:start w:val="4"/>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1"/>
    </w:lvl>
  </w:abstractNum>
  <w:abstractNum w:abstractNumId="84">
    <w:nsid w:val="3DB012B3"/>
    <w:multiLevelType w:val="hybridMultilevel"/>
    <w:lvl w:ilvl="0">
      <w:lvlJc w:val="left"/>
      <w:lvlText w:val="%1"/>
      <w:numFmt w:val="decimal"/>
      <w:start w:val="1"/>
    </w:lvl>
    <w:lvl w:ilvl="1">
      <w:lvlJc w:val="left"/>
      <w:lvlText w:val="(%2)"/>
      <w:numFmt w:val="lowerLetter"/>
      <w:start w:val="2"/>
    </w:lvl>
  </w:abstractNum>
  <w:abstractNum w:abstractNumId="85">
    <w:nsid w:val="2708C9AF"/>
    <w:multiLevelType w:val="hybridMultilevel"/>
    <w:lvl w:ilvl="0">
      <w:lvlJc w:val="left"/>
      <w:lvlText w:val="(%1)"/>
      <w:numFmt w:val="decimal"/>
      <w:start w:val="15"/>
    </w:lvl>
    <w:lvl w:ilvl="1">
      <w:lvlJc w:val="left"/>
      <w:lvlText w:val="(%2)"/>
      <w:numFmt w:val="lowerLetter"/>
      <w:start w:val="6"/>
    </w:lvl>
  </w:abstractNum>
  <w:abstractNum w:abstractNumId="86">
    <w:nsid w:val="5B25ACE2"/>
    <w:multiLevelType w:val="hybridMultilevel"/>
    <w:lvl w:ilvl="0">
      <w:lvlJc w:val="left"/>
      <w:lvlText w:val="(%1)"/>
      <w:numFmt w:val="lowerLetter"/>
      <w:start w:val="7"/>
    </w:lvl>
  </w:abstractNum>
  <w:abstractNum w:abstractNumId="87">
    <w:nsid w:val="175DFCF0"/>
    <w:multiLevelType w:val="hybridMultilevel"/>
    <w:lvl w:ilvl="0">
      <w:lvlJc w:val="left"/>
      <w:lvlText w:val="(%1)"/>
      <w:numFmt w:val="lowerLetter"/>
      <w:start w:val="1"/>
    </w:lvl>
  </w:abstractNum>
  <w:abstractNum w:abstractNumId="88">
    <w:nsid w:val="4F97E3E4"/>
    <w:multiLevelType w:val="hybridMultilevel"/>
    <w:lvl w:ilvl="0">
      <w:lvlJc w:val="left"/>
      <w:lvlText w:val="(%1)"/>
      <w:numFmt w:val="lowerRoman"/>
      <w:start w:val="6"/>
    </w:lvl>
    <w:lvl w:ilvl="1">
      <w:lvlJc w:val="left"/>
      <w:lvlText w:val="(%2)"/>
      <w:numFmt w:val="lowerLetter"/>
      <w:start w:val="2"/>
    </w:lvl>
  </w:abstractNum>
  <w:abstractNum w:abstractNumId="89">
    <w:nsid w:val="53B0A9E"/>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90">
    <w:nsid w:val="34FD6B4F"/>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91">
    <w:nsid w:val="5915FF32"/>
    <w:multiLevelType w:val="hybridMultilevel"/>
    <w:lvl w:ilvl="0">
      <w:lvlJc w:val="left"/>
      <w:lvlText w:val="(%1)"/>
      <w:numFmt w:val="lowerRoman"/>
      <w:start w:val="3"/>
    </w:lvl>
  </w:abstractNum>
  <w:abstractNum w:abstractNumId="92">
    <w:nsid w:val="56438D15"/>
    <w:multiLevelType w:val="hybridMultilevel"/>
    <w:lvl w:ilvl="0">
      <w:lvlJc w:val="left"/>
      <w:lvlText w:val="(%1)"/>
      <w:numFmt w:val="lowerRoman"/>
      <w:start w:val="7"/>
    </w:lvl>
  </w:abstractNum>
  <w:abstractNum w:abstractNumId="93">
    <w:nsid w:val="519E3149"/>
    <w:multiLevelType w:val="hybridMultilevel"/>
    <w:lvl w:ilvl="0">
      <w:lvlJc w:val="left"/>
      <w:lvlText w:val="(%1)"/>
      <w:numFmt w:val="lowerRoman"/>
      <w:start w:val="8"/>
    </w:lvl>
  </w:abstractNum>
  <w:abstractNum w:abstractNumId="94">
    <w:nsid w:val="2C6E4AFD"/>
    <w:multiLevelType w:val="hybridMultilevel"/>
    <w:lvl w:ilvl="0">
      <w:lvlJc w:val="left"/>
      <w:lvlText w:val="%1"/>
      <w:numFmt w:val="lowerLetter"/>
      <w:start w:val="1"/>
    </w:lvl>
    <w:lvl w:ilvl="1">
      <w:lvlJc w:val="left"/>
      <w:lvlText w:val="(%2)"/>
      <w:numFmt w:val="lowerLetter"/>
      <w:start w:val="1"/>
    </w:lvl>
  </w:abstractNum>
  <w:abstractNum w:abstractNumId="95">
    <w:nsid w:val="17A1B582"/>
    <w:multiLevelType w:val="hybridMultilevel"/>
    <w:lvl w:ilvl="0">
      <w:lvlJc w:val="left"/>
      <w:lvlText w:val="(%1)"/>
      <w:numFmt w:val="lowerLetter"/>
      <w:start w:val="35"/>
    </w:lvl>
    <w:lvl w:ilvl="1">
      <w:lvlJc w:val="left"/>
      <w:lvlText w:val="(%2)"/>
      <w:numFmt w:val="lowerLetter"/>
      <w:start w:val="3"/>
    </w:lvl>
  </w:abstractNum>
  <w:abstractNum w:abstractNumId="96">
    <w:nsid w:val="4DF72E4E"/>
    <w:multiLevelType w:val="hybridMultilevel"/>
    <w:lvl w:ilvl="0">
      <w:lvlJc w:val="left"/>
      <w:lvlText w:val="(%1)"/>
      <w:numFmt w:val="lowerLetter"/>
      <w:start w:val="4"/>
    </w:lvl>
  </w:abstractNum>
  <w:abstractNum w:abstractNumId="97">
    <w:nsid w:val="5046B5A9"/>
    <w:multiLevelType w:val="hybridMultilevel"/>
    <w:lvl w:ilvl="0">
      <w:lvlJc w:val="left"/>
      <w:lvlText w:val="(%1)"/>
      <w:numFmt w:val="lowerLetter"/>
      <w:start w:val="9"/>
    </w:lvl>
    <w:lvl w:ilvl="1">
      <w:lvlJc w:val="left"/>
      <w:lvlText w:val="(%2)"/>
      <w:numFmt w:val="lowerRoman"/>
      <w:start w:val="1"/>
    </w:lvl>
  </w:abstractNum>
  <w:abstractNum w:abstractNumId="98">
    <w:nsid w:val="5D888A08"/>
    <w:multiLevelType w:val="hybridMultilevel"/>
    <w:lvl w:ilvl="0">
      <w:lvlJc w:val="left"/>
      <w:lvlText w:val="(%1)"/>
      <w:numFmt w:val="lowerLetter"/>
      <w:start w:val="16"/>
    </w:lvl>
  </w:abstractNum>
  <w:abstractNum w:abstractNumId="99">
    <w:nsid w:val="2A082C70"/>
    <w:multiLevelType w:val="hybridMultilevel"/>
    <w:lvl w:ilvl="0">
      <w:lvlJc w:val="left"/>
      <w:lvlText w:val="(%1)"/>
      <w:numFmt w:val="lowerLetter"/>
      <w:start w:val="1"/>
    </w:lvl>
    <w:lvl w:ilvl="1">
      <w:lvlJc w:val="left"/>
      <w:lvlText w:val="(%2)"/>
      <w:numFmt w:val="lowerRoman"/>
      <w:start w:val="1"/>
    </w:lvl>
  </w:abstractNum>
  <w:abstractNum w:abstractNumId="100">
    <w:nsid w:val="5EC6AFD4"/>
    <w:multiLevelType w:val="hybridMultilevel"/>
    <w:lvl w:ilvl="0">
      <w:lvlJc w:val="left"/>
      <w:lvlText w:val="%1"/>
      <w:numFmt w:val="lowerLetter"/>
      <w:start w:val="1"/>
    </w:lvl>
    <w:lvl w:ilvl="1">
      <w:lvlJc w:val="left"/>
      <w:lvlText w:val="(%2)"/>
      <w:numFmt w:val="lowerRoman"/>
      <w:start w:val="3"/>
    </w:lvl>
  </w:abstractNum>
  <w:abstractNum w:abstractNumId="101">
    <w:nsid w:val="19E21BB2"/>
    <w:multiLevelType w:val="hybridMultilevel"/>
    <w:lvl w:ilvl="0">
      <w:lvlJc w:val="left"/>
      <w:lvlText w:val="(%1)"/>
      <w:numFmt w:val="lowerLetter"/>
      <w:start w:val="2"/>
    </w:lvl>
    <w:lvl w:ilvl="1">
      <w:lvlJc w:val="left"/>
      <w:lvlText w:val="%2"/>
      <w:numFmt w:val="lowerRoman"/>
      <w:start w:val="1"/>
    </w:lvl>
  </w:abstractNum>
  <w:abstractNum w:abstractNumId="102">
    <w:nsid w:val="75E0858A"/>
    <w:multiLevelType w:val="hybridMultilevel"/>
    <w:lvl w:ilvl="0">
      <w:lvlJc w:val="left"/>
      <w:lvlText w:val="%1"/>
      <w:numFmt w:val="lowerLetter"/>
      <w:start w:val="1"/>
    </w:lvl>
    <w:lvl w:ilvl="1">
      <w:lvlJc w:val="left"/>
      <w:lvlText w:val="(%2)"/>
      <w:numFmt w:val="lowerLetter"/>
      <w:start w:val="3"/>
    </w:lvl>
  </w:abstractNum>
  <w:abstractNum w:abstractNumId="103">
    <w:nsid w:val="57A61A29"/>
    <w:multiLevelType w:val="hybridMultilevel"/>
    <w:lvl w:ilvl="0">
      <w:lvlJc w:val="left"/>
      <w:lvlText w:val="(%1)"/>
      <w:numFmt w:val="lowerLetter"/>
      <w:start w:val="9"/>
    </w:lvl>
    <w:lvl w:ilvl="1">
      <w:lvlJc w:val="left"/>
      <w:lvlText w:val="(%2)"/>
      <w:numFmt w:val="lowerLetter"/>
      <w:start w:val="4"/>
    </w:lvl>
  </w:abstractNum>
  <w:abstractNum w:abstractNumId="104">
    <w:nsid w:val="5399C654"/>
    <w:multiLevelType w:val="hybridMultilevel"/>
    <w:lvl w:ilvl="0">
      <w:lvlJc w:val="left"/>
      <w:lvlText w:val="(%1)"/>
      <w:numFmt w:val="lowerLetter"/>
      <w:start w:val="1"/>
    </w:lvl>
  </w:abstractNum>
  <w:abstractNum w:abstractNumId="105">
    <w:nsid w:val="20EE1348"/>
    <w:multiLevelType w:val="hybridMultilevel"/>
    <w:lvl w:ilvl="0">
      <w:lvlJc w:val="left"/>
      <w:lvlText w:val="(%1)"/>
      <w:numFmt w:val="lowerLetter"/>
      <w:start w:val="1"/>
    </w:lvl>
  </w:abstractNum>
  <w:abstractNum w:abstractNumId="106">
    <w:nsid w:val="4427069A"/>
    <w:multiLevelType w:val="hybridMultilevel"/>
    <w:lvl w:ilvl="0">
      <w:lvlJc w:val="left"/>
      <w:lvlText w:val="%1"/>
      <w:numFmt w:val="lowerLetter"/>
      <w:start w:val="1"/>
    </w:lvl>
    <w:lvl w:ilvl="1">
      <w:lvlJc w:val="left"/>
      <w:lvlText w:val="(%2)"/>
      <w:numFmt w:val="lowerLetter"/>
      <w:start w:val="1"/>
    </w:lvl>
  </w:abstractNum>
  <w:abstractNum w:abstractNumId="107">
    <w:nsid w:val="B37E80A"/>
    <w:multiLevelType w:val="hybridMultilevel"/>
    <w:lvl w:ilvl="0">
      <w:lvlJc w:val="left"/>
      <w:lvlText w:val="(%1)"/>
      <w:numFmt w:val="lowerLetter"/>
      <w:start w:val="9"/>
    </w:lvl>
    <w:lvl w:ilvl="1">
      <w:lvlJc w:val="left"/>
      <w:lvlText w:val="(%2)"/>
      <w:numFmt w:val="lowerLetter"/>
      <w:start w:val="2"/>
    </w:lvl>
  </w:abstractNum>
  <w:abstractNum w:abstractNumId="108">
    <w:nsid w:val="2157F6BC"/>
    <w:multiLevelType w:val="hybridMultilevel"/>
    <w:lvl w:ilvl="0">
      <w:lvlJc w:val="left"/>
      <w:lvlText w:val="(%1)"/>
      <w:numFmt w:val="lowerLetter"/>
      <w:start w:val="5"/>
    </w:lvl>
  </w:abstractNum>
  <w:abstractNum w:abstractNumId="109">
    <w:nsid w:val="704E1DD5"/>
    <w:multiLevelType w:val="hybridMultilevel"/>
    <w:lvl w:ilvl="0">
      <w:lvlJc w:val="left"/>
      <w:lvlText w:val="(%1)"/>
      <w:numFmt w:val="lowerLetter"/>
      <w:start w:val="1"/>
    </w:lvl>
  </w:abstractNum>
  <w:abstractNum w:abstractNumId="110">
    <w:nsid w:val="57D2F10E"/>
    <w:multiLevelType w:val="hybridMultilevel"/>
    <w:lvl w:ilvl="0">
      <w:lvlJc w:val="left"/>
      <w:lvlText w:val="(%1)"/>
      <w:numFmt w:val="lowerLetter"/>
      <w:start w:val="1"/>
    </w:lvl>
    <w:lvl w:ilvl="1">
      <w:lvlJc w:val="left"/>
      <w:lvlText w:val="(%2)"/>
      <w:numFmt w:val="lowerRoman"/>
      <w:start w:val="1"/>
    </w:lvl>
  </w:abstractNum>
  <w:abstractNum w:abstractNumId="111">
    <w:nsid w:val="BFFAE18"/>
    <w:multiLevelType w:val="hybridMultilevel"/>
    <w:lvl w:ilvl="0">
      <w:lvlJc w:val="left"/>
      <w:lvlText w:val="(%1)"/>
      <w:numFmt w:val="lowerLetter"/>
      <w:start w:val="1"/>
    </w:lvl>
  </w:abstractNum>
  <w:abstractNum w:abstractNumId="112">
    <w:nsid w:val="E3E47A8"/>
    <w:multiLevelType w:val="hybridMultilevel"/>
    <w:lvl w:ilvl="0">
      <w:lvlJc w:val="left"/>
      <w:lvlText w:val="(%1)"/>
      <w:numFmt w:val="lowerLetter"/>
      <w:start w:val="1"/>
    </w:lvl>
    <w:lvl w:ilvl="1">
      <w:lvlJc w:val="left"/>
      <w:lvlText w:val="(%2)"/>
      <w:numFmt w:val="lowerRoman"/>
      <w:start w:val="1"/>
    </w:lvl>
  </w:abstractNum>
  <w:abstractNum w:abstractNumId="113">
    <w:nsid w:val="2E48F044"/>
    <w:multiLevelType w:val="hybridMultilevel"/>
    <w:lvl w:ilvl="0">
      <w:lvlJc w:val="left"/>
      <w:lvlText w:val="(%1)"/>
      <w:numFmt w:val="lowerLetter"/>
      <w:start w:val="1"/>
    </w:lvl>
    <w:lvl w:ilvl="1">
      <w:lvlJc w:val="left"/>
      <w:lvlText w:val="(%2)"/>
      <w:numFmt w:val="lowerRoman"/>
      <w:start w:val="1"/>
    </w:lvl>
  </w:abstractNum>
  <w:abstractNum w:abstractNumId="114">
    <w:nsid w:val="49D0FEAC"/>
    <w:multiLevelType w:val="hybridMultilevel"/>
    <w:lvl w:ilvl="0">
      <w:lvlJc w:val="left"/>
      <w:lvlText w:val="(%1)"/>
      <w:numFmt w:val="lowerRoman"/>
      <w:start w:val="3"/>
    </w:lvl>
  </w:abstractNum>
  <w:abstractNum w:abstractNumId="115">
    <w:nsid w:val="4BEE5A5B"/>
    <w:multiLevelType w:val="hybridMultilevel"/>
    <w:lvl w:ilvl="0">
      <w:lvlJc w:val="left"/>
      <w:lvlText w:val="%1"/>
      <w:numFmt w:val="upperLetter"/>
      <w:start w:val="1"/>
    </w:lvl>
    <w:lvl w:ilvl="1">
      <w:lvlJc w:val="left"/>
      <w:lvlText w:val="(%2)"/>
      <w:numFmt w:val="lowerLetter"/>
      <w:start w:val="2"/>
    </w:lvl>
  </w:abstractNum>
  <w:abstractNum w:abstractNumId="116">
    <w:nsid w:val="5551B9F3"/>
    <w:multiLevelType w:val="hybridMultilevel"/>
    <w:lvl w:ilvl="0">
      <w:lvlJc w:val="left"/>
      <w:lvlText w:val="(%1)"/>
      <w:numFmt w:val="upperLetter"/>
      <w:start w:val="2"/>
    </w:lvl>
    <w:lvl w:ilvl="1">
      <w:lvlJc w:val="left"/>
      <w:lvlText w:val="%2"/>
      <w:numFmt w:val="lowerLetter"/>
      <w:start w:val="1"/>
    </w:lvl>
  </w:abstractNum>
  <w:abstractNum w:abstractNumId="117">
    <w:nsid w:val="24F6AB8E"/>
    <w:multiLevelType w:val="hybridMultilevel"/>
    <w:lvl w:ilvl="0">
      <w:lvlJc w:val="left"/>
      <w:lvlText w:val="(%1)"/>
      <w:numFmt w:val="lowerLetter"/>
      <w:start w:val="4"/>
    </w:lvl>
  </w:abstractNum>
  <w:abstractNum w:abstractNumId="118">
    <w:nsid w:val="634C574C"/>
    <w:multiLevelType w:val="hybridMultilevel"/>
    <w:lvl w:ilvl="0">
      <w:lvlJc w:val="left"/>
      <w:lvlText w:val="(%1)"/>
      <w:numFmt w:val="lowerLetter"/>
      <w:start w:val="1"/>
    </w:lvl>
  </w:abstractNum>
  <w:abstractNum w:abstractNumId="119">
    <w:nsid w:val="24E99DD7"/>
    <w:multiLevelType w:val="hybridMultilevel"/>
    <w:lvl w:ilvl="0">
      <w:lvlJc w:val="left"/>
      <w:lvlText w:val="(%1)"/>
      <w:numFmt w:val="lowerLetter"/>
      <w:start w:val="1"/>
    </w:lvl>
  </w:abstractNum>
  <w:abstractNum w:abstractNumId="120">
    <w:nsid w:val="2A31B62D"/>
    <w:multiLevelType w:val="hybridMultilevel"/>
    <w:lvl w:ilvl="0">
      <w:lvlJc w:val="left"/>
      <w:lvlText w:val="(%1)"/>
      <w:numFmt w:val="lowerLetter"/>
      <w:start w:val="1"/>
    </w:lvl>
  </w:abstractNum>
  <w:abstractNum w:abstractNumId="121">
    <w:nsid w:val="1849C29B"/>
    <w:multiLevelType w:val="hybridMultilevel"/>
    <w:lvl w:ilvl="0">
      <w:lvlJc w:val="left"/>
      <w:lvlText w:val="(%1)"/>
      <w:numFmt w:val="lowerLetter"/>
      <w:start w:val="1"/>
    </w:lvl>
  </w:abstractNum>
  <w:abstractNum w:abstractNumId="122">
    <w:nsid w:val="7DFF9D09"/>
    <w:multiLevelType w:val="hybridMultilevel"/>
    <w:lvl w:ilvl="0">
      <w:lvlJc w:val="left"/>
      <w:lvlText w:val="(%1)"/>
      <w:numFmt w:val="lowerLetter"/>
      <w:start w:val="2"/>
    </w:lvl>
  </w:abstractNum>
  <w:abstractNum w:abstractNumId="123">
    <w:nsid w:val="754342"/>
    <w:multiLevelType w:val="hybridMultilevel"/>
    <w:lvl w:ilvl="0">
      <w:lvlJc w:val="left"/>
      <w:lvlText w:val="(%1)"/>
      <w:numFmt w:val="lowerLetter"/>
      <w:start w:val="1"/>
    </w:lvl>
  </w:abstractNum>
  <w:abstractNum w:abstractNumId="124">
    <w:nsid w:val="69E7F3E5"/>
    <w:multiLevelType w:val="hybridMultilevel"/>
    <w:lvl w:ilvl="0">
      <w:lvlJc w:val="left"/>
      <w:lvlText w:val="(%1)"/>
      <w:numFmt w:val="lowerLetter"/>
      <w:start w:val="3"/>
    </w:lvl>
  </w:abstractNum>
  <w:abstractNum w:abstractNumId="125">
    <w:nsid w:val="2A6DE806"/>
    <w:multiLevelType w:val="hybridMultilevel"/>
    <w:lvl w:ilvl="0">
      <w:lvlJc w:val="left"/>
      <w:lvlText w:val="(%1)"/>
      <w:numFmt w:val="lowerLetter"/>
      <w:start w:val="1"/>
    </w:lvl>
  </w:abstractNum>
  <w:abstractNum w:abstractNumId="126">
    <w:nsid w:val="1816F8C4"/>
    <w:multiLevelType w:val="hybridMultilevel"/>
    <w:lvl w:ilvl="0">
      <w:lvlJc w:val="left"/>
      <w:lvlText w:val="(%1)"/>
      <w:numFmt w:val="lowerLetter"/>
      <w:start w:val="1"/>
    </w:lvl>
  </w:abstractNum>
  <w:abstractNum w:abstractNumId="127">
    <w:nsid w:val="37DF2233"/>
    <w:multiLevelType w:val="hybridMultilevel"/>
    <w:lvl w:ilvl="0">
      <w:lvlJc w:val="left"/>
      <w:lvlText w:val="(%1)"/>
      <w:numFmt w:val="lowerLetter"/>
      <w:start w:val="3"/>
    </w:lvl>
  </w:abstractNum>
  <w:abstractNum w:abstractNumId="128">
    <w:nsid w:val="7AB49DAF"/>
    <w:multiLevelType w:val="hybridMultilevel"/>
    <w:lvl w:ilvl="0">
      <w:lvlJc w:val="left"/>
      <w:lvlText w:val="(%1)"/>
      <w:numFmt w:val="lowerLetter"/>
      <w:start w:val="1"/>
    </w:lvl>
  </w:abstractNum>
  <w:abstractNum w:abstractNumId="129">
    <w:nsid w:val="759F82CD"/>
    <w:multiLevelType w:val="hybridMultilevel"/>
    <w:lvl w:ilvl="0">
      <w:lvlJc w:val="left"/>
      <w:lvlText w:val="(%1)"/>
      <w:numFmt w:val="lowerLetter"/>
      <w:start w:val="7"/>
    </w:lvl>
  </w:abstractNum>
  <w:abstractNum w:abstractNumId="130">
    <w:nsid w:val="61E74EA3"/>
    <w:multiLevelType w:val="hybridMultilevel"/>
    <w:lvl w:ilvl="0">
      <w:lvlJc w:val="left"/>
      <w:lvlText w:val="%1."/>
      <w:numFmt w:val="upperLetter"/>
      <w:start w:val="1"/>
    </w:lvl>
  </w:abstractNum>
  <w:abstractNum w:abstractNumId="131">
    <w:nsid w:val="597B4D84"/>
    <w:multiLevelType w:val="hybridMultilevel"/>
    <w:lvl w:ilvl="0">
      <w:lvlJc w:val="left"/>
      <w:lvlText w:val="%1."/>
      <w:numFmt w:val="decimal"/>
      <w:start w:val="1"/>
    </w:lvl>
  </w:abstractNum>
  <w:abstractNum w:abstractNumId="132">
    <w:nsid w:val="F819E7F"/>
    <w:multiLevelType w:val="hybridMultilevel"/>
    <w:lvl w:ilvl="0">
      <w:lvlJc w:val="left"/>
      <w:lvlText w:val="(%1)"/>
      <w:numFmt w:val="lowerLetter"/>
      <w:start w:val="1"/>
    </w:lvl>
  </w:abstractNum>
  <w:abstractNum w:abstractNumId="133">
    <w:nsid w:val="57C7D42D"/>
    <w:multiLevelType w:val="hybridMultilevel"/>
    <w:lvl w:ilvl="0">
      <w:lvlJc w:val="left"/>
      <w:lvlText w:val="(%1)"/>
      <w:numFmt w:val="lowerLetter"/>
      <w:start w:val="3"/>
    </w:lvl>
  </w:abstractNum>
  <w:abstractNum w:abstractNumId="134">
    <w:nsid w:val="312167AD"/>
    <w:multiLevelType w:val="hybridMultilevel"/>
    <w:lvl w:ilvl="0">
      <w:lvlJc w:val="left"/>
      <w:lvlText w:val="%1"/>
      <w:numFmt w:val="decimal"/>
      <w:start w:val="1"/>
    </w:lvl>
    <w:lvl w:ilvl="1">
      <w:lvlJc w:val="left"/>
      <w:lvlText w:val="(%2)"/>
      <w:numFmt w:val="lowerLetter"/>
      <w:start w:val="1"/>
    </w:lvl>
  </w:abstractNum>
  <w:abstractNum w:abstractNumId="135">
    <w:nsid w:val="631B64D4"/>
    <w:multiLevelType w:val="hybridMultilevel"/>
    <w:lvl w:ilvl="0">
      <w:lvlJc w:val="left"/>
      <w:lvlText w:val="%1."/>
      <w:numFmt w:val="decimal"/>
      <w:start w:val="2"/>
    </w:lvl>
    <w:lvl w:ilvl="1">
      <w:lvlJc w:val="left"/>
      <w:lvlText w:val="%2"/>
      <w:numFmt w:val="lowerLetter"/>
      <w:start w:val="1"/>
    </w:lvl>
  </w:abstractNum>
  <w:abstractNum w:abstractNumId="136">
    <w:nsid w:val="78B5E776"/>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37">
    <w:nsid w:val="75486E4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4"/>
    </w:lvl>
  </w:abstractNum>
  <w:abstractNum w:abstractNumId="138">
    <w:nsid w:val="6E534CDE"/>
    <w:multiLevelType w:val="hybridMultilevel"/>
    <w:lvl w:ilvl="0">
      <w:lvlJc w:val="left"/>
      <w:lvlText w:val="%1"/>
      <w:numFmt w:val="decimal"/>
      <w:start w:val="1"/>
    </w:lvl>
    <w:lvl w:ilvl="1">
      <w:lvlJc w:val="left"/>
      <w:lvlText w:val="(%2)"/>
      <w:numFmt w:val="lowerLetter"/>
      <w:start w:val="10"/>
    </w:lvl>
  </w:abstractNum>
  <w:abstractNum w:abstractNumId="139">
    <w:nsid w:val="1A0DDE32"/>
    <w:multiLevelType w:val="hybridMultilevel"/>
    <w:lvl w:ilvl="0">
      <w:lvlJc w:val="left"/>
      <w:lvlText w:val="%1."/>
      <w:numFmt w:val="decimal"/>
      <w:start w:val="6"/>
    </w:lvl>
    <w:lvl w:ilvl="1">
      <w:lvlJc w:val="left"/>
      <w:lvlText w:val="(%2)"/>
      <w:numFmt w:val="lowerLetter"/>
      <w:start w:val="1"/>
    </w:lvl>
  </w:abstractNum>
  <w:abstractNum w:abstractNumId="140">
    <w:nsid w:val="65968C1C"/>
    <w:multiLevelType w:val="hybridMultilevel"/>
    <w:lvl w:ilvl="0">
      <w:lvlJc w:val="left"/>
      <w:lvlText w:val="%1"/>
      <w:numFmt w:val="decimal"/>
      <w:start w:val="1"/>
    </w:lvl>
    <w:lvl w:ilvl="1">
      <w:lvlJc w:val="left"/>
      <w:lvlText w:val="(%2)"/>
      <w:numFmt w:val="lowerLetter"/>
      <w:start w:val="8"/>
    </w:lvl>
  </w:abstractNum>
  <w:abstractNum w:abstractNumId="141">
    <w:nsid w:val="46263DEC"/>
    <w:multiLevelType w:val="hybridMultilevel"/>
    <w:lvl w:ilvl="0">
      <w:lvlJc w:val="left"/>
      <w:lvlText w:val="%1."/>
      <w:numFmt w:val="decimal"/>
      <w:start w:val="7"/>
    </w:lvl>
    <w:lvl w:ilvl="1">
      <w:lvlJc w:val="left"/>
      <w:lvlText w:val="%2"/>
      <w:numFmt w:val="lowerLetter"/>
      <w:start w:val="1"/>
    </w:lvl>
  </w:abstractNum>
  <w:abstractNum w:abstractNumId="142">
    <w:nsid w:val="260D8C4A"/>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143">
    <w:nsid w:val="73D4D3C4"/>
    <w:multiLevelType w:val="hybridMultilevel"/>
    <w:lvl w:ilvl="0">
      <w:lvlJc w:val="left"/>
      <w:lvlText w:val="%1."/>
      <w:numFmt w:val="decimal"/>
      <w:start w:val="9"/>
    </w:lvl>
  </w:abstractNum>
  <w:abstractNum w:abstractNumId="144">
    <w:nsid w:val="746F2E30"/>
    <w:multiLevelType w:val="hybridMultilevel"/>
    <w:lvl w:ilvl="0">
      <w:lvlJc w:val="left"/>
      <w:lvlText w:val="%1."/>
      <w:numFmt w:val="decimal"/>
      <w:start w:val="12"/>
    </w:lvl>
    <w:lvl w:ilvl="1">
      <w:lvlJc w:val="left"/>
      <w:lvlText w:val="(%2)"/>
      <w:numFmt w:val="lowerLetter"/>
      <w:start w:val="1"/>
    </w:lvl>
  </w:abstractNum>
  <w:abstractNum w:abstractNumId="145">
    <w:nsid w:val="6FDE8AF6"/>
    <w:multiLevelType w:val="hybridMultilevel"/>
    <w:lvl w:ilvl="0">
      <w:lvlJc w:val="left"/>
      <w:lvlText w:val="(%1)"/>
      <w:numFmt w:val="lowerLetter"/>
      <w:start w:val="3"/>
    </w:lvl>
    <w:lvl w:ilvl="1">
      <w:lvlJc w:val="left"/>
      <w:lvlText w:val="(%2)"/>
      <w:numFmt w:val="decimal"/>
      <w:start w:val="1"/>
    </w:lvl>
  </w:abstractNum>
  <w:abstractNum w:abstractNumId="146">
    <w:nsid w:val="3FC32E20"/>
    <w:multiLevelType w:val="hybridMultilevel"/>
    <w:lvl w:ilvl="0">
      <w:lvlJc w:val="left"/>
      <w:lvlText w:val="(%1)"/>
      <w:numFmt w:val="lowerLetter"/>
      <w:start w:val="7"/>
    </w:lvl>
  </w:abstractNum>
  <w:abstractNum w:abstractNumId="147">
    <w:nsid w:val="49C0E823"/>
    <w:multiLevelType w:val="hybridMultilevel"/>
    <w:lvl w:ilvl="0">
      <w:lvlJc w:val="left"/>
      <w:lvlText w:val="(%1)"/>
      <w:numFmt w:val="lowerLetter"/>
      <w:start w:val="1"/>
    </w:lvl>
  </w:abstractNum>
  <w:abstractNum w:abstractNumId="148">
    <w:nsid w:val="14D53685"/>
    <w:multiLevelType w:val="hybridMultilevel"/>
    <w:lvl w:ilvl="0">
      <w:lvlJc w:val="left"/>
      <w:lvlText w:val="(%1)"/>
      <w:numFmt w:val="lowerLetter"/>
      <w:start w:val="2"/>
    </w:lvl>
    <w:lvl w:ilvl="1">
      <w:lvlJc w:val="left"/>
      <w:lvlText w:val="(%2)"/>
      <w:numFmt w:val="decimal"/>
      <w:start w:val="1"/>
    </w:lvl>
  </w:abstractNum>
  <w:abstractNum w:abstractNumId="149">
    <w:nsid w:val="230F856C"/>
    <w:multiLevelType w:val="hybridMultilevel"/>
    <w:lvl w:ilvl="0">
      <w:lvlJc w:val="left"/>
      <w:lvlText w:val="%1."/>
      <w:numFmt w:val="upperLetter"/>
      <w:start w:val="1"/>
    </w:lvl>
  </w:abstractNum>
  <w:abstractNum w:abstractNumId="150">
    <w:nsid w:val="6EAA85FB"/>
    <w:multiLevelType w:val="hybridMultilevel"/>
    <w:lvl w:ilvl="0">
      <w:lvlJc w:val="left"/>
      <w:lvlText w:val="(%1)"/>
      <w:numFmt w:val="lowerLetter"/>
      <w:start w:val="1"/>
    </w:lvl>
  </w:abstractNum>
  <w:abstractNum w:abstractNumId="151">
    <w:nsid w:val="3F06ECB2"/>
    <w:multiLevelType w:val="hybridMultilevel"/>
    <w:lvl w:ilvl="0">
      <w:lvlJc w:val="left"/>
      <w:lvlText w:val="(%1)"/>
      <w:numFmt w:val="lowerLetter"/>
      <w:start w:val="5"/>
    </w:lvl>
  </w:abstractNum>
  <w:abstractNum w:abstractNumId="152">
    <w:nsid w:val="3B594807"/>
    <w:multiLevelType w:val="hybridMultilevel"/>
    <w:lvl w:ilvl="0">
      <w:lvlJc w:val="left"/>
      <w:lvlText w:val="•"/>
      <w:numFmt w:val="bullet"/>
      <w:start w:val="1"/>
    </w:lvl>
  </w:abstractNum>
  <w:abstractNum w:abstractNumId="153">
    <w:nsid w:val="6CAA2304"/>
    <w:multiLevelType w:val="hybridMultilevel"/>
    <w:lvl w:ilvl="0">
      <w:lvlJc w:val="left"/>
      <w:lvlText w:val="•"/>
      <w:numFmt w:val="bullet"/>
      <w:start w:val="1"/>
    </w:lvl>
  </w:abstractNum>
  <w:abstractNum w:abstractNumId="154">
    <w:nsid w:val="3F7C2FF4"/>
    <w:multiLevelType w:val="hybridMultilevel"/>
    <w:lvl w:ilvl="0">
      <w:lvlJc w:val="left"/>
      <w:lvlText w:val="•"/>
      <w:numFmt w:val="bullet"/>
      <w:start w:val="1"/>
    </w:lvl>
  </w:abstractNum>
  <w:abstractNum w:abstractNumId="155">
    <w:nsid w:val="25413BEC"/>
    <w:multiLevelType w:val="hybridMultilevel"/>
    <w:lvl w:ilvl="0">
      <w:lvlJc w:val="left"/>
      <w:lvlText w:val="•"/>
      <w:numFmt w:val="bullet"/>
      <w:start w:val="1"/>
    </w:lvl>
  </w:abstractNum>
  <w:abstractNum w:abstractNumId="156">
    <w:nsid w:val="17180B0B"/>
    <w:multiLevelType w:val="hybridMultilevel"/>
    <w:lvl w:ilvl="0">
      <w:lvlJc w:val="left"/>
      <w:lvlText w:val="(%1)"/>
      <w:numFmt w:val="decimal"/>
      <w:start w:val="877"/>
    </w:lvl>
  </w:abstractNum>
  <w:abstractNum w:abstractNumId="157">
    <w:nsid w:val="579328B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2019-12-06T10:19:03Z</dcterms:created>
  <dcterms:modified xsi:type="dcterms:W3CDTF">2019-12-06T10:19:03Z</dcterms:modified>
</cp:coreProperties>
</file>