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312026_010711.xml.htm"/>
      <w:bookmarkStart w:id="1" w:name="ksform307312026_01071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Sollie-Zetlmayer Hege Elisabeth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46,526</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10/22/2030</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51.96</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33,250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01/06/2032</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17,875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01/04/2033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02/14/2034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76.74</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 2,250 unvested Restricted Stock Units ("RSUs") from an award of 9,000 RSUs granted on January 5, 2023, which vests in four equal installments over four years, commencing on January 5, 2024; (2) 5,000 unvested RSUs from an award of 10,000 RSUs granted on February 15, 2024, which vests in four equal installments over four years, commencing on February 15, 2025; (3) 7,500 unvested RSUs from an award of 10,000 RSUs granted on January 3, 2025, which vests in four equal installments over four years, commencing on January 3, 2026; and (4) 11,000 unvested RSUs from an award of 11,000 RSUs granted on January 2, 2026, which vests in four equal installments over four years, commencing on January 2,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on January 5, 2023, and vests over four years, with 25% of the shares underlying the option vesting on January 5, 2024, and an additional 6.25% of the original number of shares underlying the option vesting at the end of each successive three-month period thereafter, beginning on April 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was granted on February 15, 2024, and vests over four years, with 25% of the shares underlying the option vesting on February 15, 2025, and an additional 6.25% of the original number of shares underlying the option vesting at the end of each successive three-month period thereafter, beginning on May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was granted on January 3, 2025, and vests over four years, with 25% of the shares underlying the option vesting on January 3, 2026, and an additional 6.25% of the original number of shares underlying the option vesting at the end of each successive three-month period thereafter, beginning on April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was granted on January 2, 2026, and vests over four years, with 25% of the shares underlying the option vesting on January 2, 2027, and an additional 6.25% of the original number of shares underlying the option vesting at the end of each successive three-month period thereafter, beginning on April 2,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25"/>
        <w:jc w:val="center"/>
        <w:rPr>
          <w:rFonts w:ascii="Arial" w:hAnsi="Arial"/>
          <w:b/>
        </w:rPr>
      </w:pPr>
      <w:bookmarkStart w:id="2" w:name="ex24-07312026_010712.htm"/>
      <w:bookmarkStart w:id="3" w:name="ksex2407312026_010712"/>
      <w:bookmarkEnd w:id="2"/>
      <w:bookmarkEnd w:id="3"/>
      <w:r>
        <w:rPr>
          <w:rFonts w:ascii="Arial" w:hAnsi="Arial"/>
          <w:b/>
        </w:rPr>
        <w:t>POWER OF ATTORNEY</w:t>
      </w:r>
      <w:r>
        <w:br w:type="page"/>
      </w:r>
    </w:p>
    <w:p>
      <w:pPr>
        <w:pStyle w:val="TextBody"/>
        <w:bidi w:val="0"/>
        <w:spacing w:before="0" w:after="225"/>
        <w:jc w:val="both"/>
        <w:rPr>
          <w:rFonts w:ascii="Arial" w:hAnsi="Arial"/>
        </w:rPr>
      </w:pPr>
      <w:r>
        <w:rPr>
          <w:rFonts w:ascii="Arial" w:hAnsi="Arial"/>
        </w:rPr>
        <w:t>The undersigned hereby makes, constitutes and appoints each of Mark Boulding, Avraham Adler and Andrew Galtieri,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PTC Therapeutics, Inc. (the “Company”), to:</w:t>
      </w:r>
    </w:p>
    <w:p>
      <w:pPr>
        <w:pStyle w:val="TextBody"/>
        <w:pBdr/>
        <w:bidi w:val="0"/>
        <w:spacing w:before="0" w:after="225"/>
        <w:ind w:left="0" w:right="0" w:hanging="30"/>
        <w:jc w:val="both"/>
        <w:rPr>
          <w:rFonts w:ascii="Arial" w:hAnsi="Arial"/>
        </w:rPr>
      </w:pPr>
      <w:r>
        <w:rPr>
          <w:rFonts w:ascii="Arial" w:hAnsi="Arial"/>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5367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1.</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1.</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5367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2.</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2.</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u w:val="single"/>
        </w:rPr>
        <w:t>Section 5</w:t>
      </w:r>
      <w:r>
        <w:rPr>
          <w:rFonts w:ascii="Arial" w:hAnsi="Arial"/>
        </w:rPr>
        <w:t xml:space="preserve"> below;</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5367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3.</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3.</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5367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4.</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4.</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5367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5.</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5.</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53670"/>
                <wp:effectExtent l="0" t="0" r="0" b="0"/>
                <wp:wrapSquare wrapText="right"/>
                <wp:docPr id="8" name="Frame6"/>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6.</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6.</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53670"/>
                <wp:effectExtent l="0" t="0" r="0" b="0"/>
                <wp:wrapSquare wrapText="right"/>
                <wp:docPr id="9" name="Frame7"/>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7.</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7.</w:t>
                      </w:r>
                    </w:p>
                  </w:txbxContent>
                </v:textbox>
                <w10:wrap type="square" side="right"/>
              </v:rect>
            </w:pict>
          </mc:Fallback>
        </mc:AlternateContent>
      </w:r>
    </w:p>
    <w:p>
      <w:pPr>
        <w:pStyle w:val="TextBody"/>
        <w:bidi w:val="0"/>
        <w:spacing w:before="0" w:after="225"/>
        <w:jc w:val="both"/>
        <w:rPr/>
      </w:pPr>
      <w:r>
        <w:rPr/>
      </w:r>
    </w:p>
    <w:p>
      <w:pPr>
        <w:pStyle w:val="TextBody"/>
        <w:bidi w:val="0"/>
        <w:spacing w:before="0" w:after="0"/>
        <w:ind w:left="0" w:right="0" w:hanging="0"/>
        <w:jc w:val="both"/>
        <w:rPr/>
      </w:pPr>
      <w:r>
        <w:rPr/>
      </w:r>
    </w:p>
    <w:p>
      <w:pPr>
        <w:pStyle w:val="HorizontalLine"/>
        <w:pBdr>
          <w:bottom w:val="single" w:sz="6" w:space="0" w:color="808080"/>
        </w:pBdr>
        <w:bidi w:val="0"/>
        <w:jc w:val="left"/>
        <w:rPr/>
      </w:pPr>
      <w:r>
        <w:rPr/>
      </w:r>
      <w:r>
        <w:br w:type="page"/>
      </w:r>
    </w:p>
    <w:p>
      <w:pPr>
        <w:pStyle w:val="TextBody"/>
        <w:bidi w:val="0"/>
        <w:spacing w:before="0" w:after="225"/>
        <w:jc w:val="both"/>
        <w:rPr>
          <w:rFonts w:ascii="Arial;Times New Roman" w:hAnsi="Arial;Times New Roman"/>
        </w:rPr>
      </w:pPr>
      <w:r>
        <w:rPr>
          <w:rFonts w:ascii="Arial;Times New Roman" w:hAnsi="Arial;Times New Roman"/>
        </w:rPr>
        <w:t>The undersigned acknowledges that:</w:t>
      </w:r>
    </w:p>
    <w:p>
      <w:pPr>
        <w:pStyle w:val="TextBody"/>
        <w:pBdr/>
        <w:bidi w:val="0"/>
        <w:spacing w:before="0" w:after="225"/>
        <w:ind w:left="0" w:right="0" w:hanging="30"/>
        <w:jc w:val="both"/>
        <w:rPr>
          <w:rFonts w:ascii="Arial" w:hAnsi="Arial"/>
        </w:rPr>
      </w:pPr>
      <w:r>
        <w:rPr>
          <w:rFonts w:ascii="Arial" w:hAnsi="Arial"/>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809625" cy="153670"/>
                <wp:effectExtent l="0" t="0" r="0" b="0"/>
                <wp:wrapSquare wrapText="right"/>
                <wp:docPr id="10" name="Frame8"/>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rFonts w:ascii="Arial" w:hAnsi="Arial"/>
                                <w:sz w:val="21"/>
                              </w:rPr>
                            </w:pPr>
                            <w:r>
                              <w:rPr>
                                <w:rFonts w:ascii="Arial" w:hAnsi="Arial"/>
                                <w:sz w:val="21"/>
                              </w:rPr>
                              <w:t>a)</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sz w:val="21"/>
                        </w:rPr>
                      </w:pPr>
                      <w:r>
                        <w:rPr>
                          <w:rFonts w:ascii="Arial" w:hAnsi="Arial"/>
                          <w:sz w:val="21"/>
                        </w:rPr>
                        <w:t>a)</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809625" cy="175260"/>
                <wp:effectExtent l="0" t="0" r="0" b="0"/>
                <wp:wrapSquare wrapText="right"/>
                <wp:docPr id="11" name="Frame9"/>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b)</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b)</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75260"/>
                <wp:effectExtent l="0" t="0" r="0" b="0"/>
                <wp:wrapSquare wrapText="right"/>
                <wp:docPr id="12" name="Frame10"/>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c)</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c)</w:t>
                      </w:r>
                    </w:p>
                  </w:txbxContent>
                </v:textbox>
                <w10:wrap type="square" side="right"/>
              </v:rect>
            </w:pict>
          </mc:Fallback>
        </mc:AlternateContent>
      </w:r>
    </w:p>
    <w:p>
      <w:pPr>
        <w:pStyle w:val="TextBody"/>
        <w:pBdr/>
        <w:bidi w:val="0"/>
        <w:spacing w:before="0" w:after="225"/>
        <w:ind w:left="0" w:right="0" w:hanging="30"/>
        <w:jc w:val="both"/>
        <w:rPr>
          <w:rFonts w:ascii="Arial" w:hAnsi="Arial"/>
        </w:rPr>
      </w:pPr>
      <w:r>
        <w:rPr>
          <w:rFonts w:ascii="Arial" w:hAnsi="Arial"/>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75260"/>
                <wp:effectExtent l="0" t="0" r="0" b="0"/>
                <wp:wrapSquare wrapText="right"/>
                <wp:docPr id="13" name="Frame11"/>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d)</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d)</w:t>
                      </w:r>
                    </w:p>
                  </w:txbxContent>
                </v:textbox>
                <w10:wrap type="square" side="right"/>
              </v:rect>
            </w:pict>
          </mc:Fallback>
        </mc:AlternateContent>
      </w:r>
    </w:p>
    <w:p>
      <w:pPr>
        <w:pStyle w:val="TextBody"/>
        <w:bidi w:val="0"/>
        <w:spacing w:before="0" w:after="225"/>
        <w:jc w:val="both"/>
        <w:rPr>
          <w:rFonts w:ascii="Arial" w:hAnsi="Arial"/>
        </w:rPr>
      </w:pPr>
      <w:r>
        <w:rPr>
          <w:rFonts w:ascii="Arial" w:hAnsi="Arial"/>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25"/>
        <w:jc w:val="both"/>
        <w:rPr>
          <w:rFonts w:ascii="Arial" w:hAnsi="Arial"/>
        </w:rPr>
      </w:pPr>
      <w:r>
        <w:rPr>
          <w:rFonts w:ascii="Arial" w:hAnsi="Arial"/>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25"/>
        <w:jc w:val="both"/>
        <w:rPr>
          <w:rFonts w:ascii="Arial" w:hAnsi="Arial"/>
        </w:rPr>
      </w:pPr>
      <w:r>
        <w:rPr>
          <w:rFonts w:ascii="Arial" w:hAnsi="Arial"/>
        </w:rPr>
        <w:t>IN WITNESS WHEREOF, the undersigned has executed this Power of Attorney as of July 30, 2026.</w:t>
      </w:r>
    </w:p>
    <w:p>
      <w:pPr>
        <w:pStyle w:val="TextBody"/>
        <w:bidi w:val="0"/>
        <w:spacing w:before="0" w:after="210"/>
        <w:jc w:val="both"/>
        <w:rPr/>
      </w:pPr>
      <w:r>
        <w:rPr/>
      </w:r>
    </w:p>
    <w:p>
      <w:pPr>
        <w:pStyle w:val="TextBody"/>
        <w:bidi w:val="0"/>
        <w:spacing w:before="0" w:after="0"/>
        <w:ind w:left="0" w:right="0" w:firstLine="5040"/>
        <w:jc w:val="both"/>
        <w:rPr>
          <w:rFonts w:ascii="Arial" w:hAnsi="Arial"/>
          <w:u w:val="single"/>
        </w:rPr>
      </w:pPr>
      <w:r>
        <w:rPr>
          <w:rFonts w:ascii="Arial" w:hAnsi="Arial"/>
          <w:u w:val="single"/>
        </w:rPr>
        <w:t>/s/ Hege Elisabeth Sollie-Zetlmayer</w:t>
      </w:r>
    </w:p>
    <w:p>
      <w:pPr>
        <w:pStyle w:val="TextBody"/>
        <w:bidi w:val="0"/>
        <w:spacing w:before="0" w:after="225"/>
        <w:ind w:left="0" w:right="0" w:firstLine="5040"/>
        <w:jc w:val="both"/>
        <w:rPr>
          <w:rFonts w:ascii="Arial" w:hAnsi="Arial"/>
        </w:rPr>
      </w:pPr>
      <w:r>
        <w:rPr>
          <w:rFonts w:ascii="Arial" w:hAnsi="Arial"/>
        </w:rPr>
        <w:t>Signature</w:t>
      </w:r>
    </w:p>
    <w:p>
      <w:pPr>
        <w:pStyle w:val="TextBody"/>
        <w:bidi w:val="0"/>
        <w:spacing w:before="0" w:after="0"/>
        <w:ind w:left="0" w:right="0" w:firstLine="5040"/>
        <w:jc w:val="both"/>
        <w:rPr>
          <w:rFonts w:ascii="Arial" w:hAnsi="Arial"/>
          <w:u w:val="single"/>
        </w:rPr>
      </w:pPr>
      <w:r>
        <w:rPr>
          <w:rFonts w:ascii="Arial" w:hAnsi="Arial"/>
          <w:u w:val="single"/>
        </w:rPr>
        <w:t>Hege Elisabeth Sollie-Zetlmayer</w:t>
      </w:r>
    </w:p>
    <w:p>
      <w:pPr>
        <w:pStyle w:val="TextBody"/>
        <w:bidi w:val="0"/>
        <w:spacing w:before="0" w:after="225"/>
        <w:ind w:left="0" w:right="0" w:hanging="30"/>
        <w:jc w:val="both"/>
        <w:rPr>
          <w:rFonts w:ascii="Arial" w:hAnsi="Arial"/>
        </w:rPr>
      </w:pPr>
      <w:r>
        <w:rPr>
          <w:rFonts w:ascii="Arial" w:hAnsi="Arial"/>
        </w:rPr>
        <w:t>Print Name</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200400" cy="175260"/>
                <wp:effectExtent l="0" t="0" r="0" b="0"/>
                <wp:wrapSquare wrapText="right"/>
                <wp:docPr id="14" name="Frame12"/>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25"/>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 w:name="Arial">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653" TargetMode="External"/><Relationship Id="rId3" Type="http://schemas.openxmlformats.org/officeDocument/2006/relationships/hyperlink" Target="http://www.sec.gov/cgi-bin/browse-edgar?action=getcompany&amp;CIK=000107008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1777</Words>
  <Characters>9526</Characters>
  <CharactersWithSpaces>11171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