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30630x10q.htm"/>
        <w:bookmarkStart w:id="1" w:name="kstmb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36"/>
        </w:rPr>
      </w:pPr>
      <w:bookmarkStart w:id="2" w:name="_d8bae12c_0c5e_4da3_80b1_04e4e399d8bd"/>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120"/>
        <w:ind w:left="0" w:right="0" w:firstLine="360"/>
        <w:jc w:val="left"/>
        <w:rPr/>
      </w:pPr>
      <w:r>
        <w:rPr/>
        <w:t xml:space="preserve">☑     </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2023</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120"/>
        <w:ind w:left="0" w:right="0" w:firstLine="360"/>
        <w:jc w:val="left"/>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001-35969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PTC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y3XCN5FpsECQslMFwDVzSw_2_2"/>
      <w:bookmarkStart w:id="4" w:name="Tc__LMVJ1J8KEy1TZr-B8qbHg_2_0"/>
      <w:bookmarkStart w:id="5" w:name="_a30a268e_211f_4fc3_a495_fbd335e1ad43"/>
      <w:bookmarkStart w:id="6" w:name="Tc_y3XCN5FpsECQslMFwDVzSw_2_2"/>
      <w:bookmarkStart w:id="7" w:name="Tc__LMVJ1J8KEy1TZr-B8qbHg_2_0"/>
      <w:bookmarkStart w:id="8" w:name="_a30a268e_211f_4fc3_a495_fbd335e1ad43"/>
      <w:bookmarkEnd w:id="6"/>
      <w:bookmarkEnd w:id="7"/>
      <w:bookmarkEnd w:id="8"/>
    </w:p>
    <w:tbl>
      <w:tblPr>
        <w:tblW w:w="8323" w:type="dxa"/>
        <w:jc w:val="left"/>
        <w:tblInd w:w="0" w:type="dxa"/>
        <w:tblLayout w:type="fixed"/>
        <w:tblCellMar>
          <w:top w:w="0" w:type="dxa"/>
          <w:left w:w="0" w:type="dxa"/>
          <w:bottom w:w="0" w:type="dxa"/>
          <w:right w:w="0" w:type="dxa"/>
        </w:tblCellMar>
      </w:tblPr>
      <w:tblGrid>
        <w:gridCol w:w="4966"/>
        <w:gridCol w:w="326"/>
        <w:gridCol w:w="3031"/>
      </w:tblGrid>
      <w:tr>
        <w:trPr/>
        <w:tc>
          <w:tcPr>
            <w:tcW w:w="4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04-3416587</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vAlign w:val="center"/>
          </w:tcPr>
          <w:p>
            <w:pPr>
              <w:pStyle w:val="TableContents"/>
              <w:bidi w:val="0"/>
              <w:spacing w:before="0" w:after="240"/>
              <w:ind w:left="0" w:right="0" w:hanging="0"/>
              <w:jc w:val="center"/>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b84aQSrMhUyAilTFjguybA_3_2"/>
      <w:bookmarkStart w:id="10" w:name="Tc_4mfIYCArlEGHQJ82QG5-Xg_3_0"/>
      <w:bookmarkStart w:id="11" w:name="Tc_9HKH3s9Q0UCRd98H01okAw_2_0"/>
      <w:bookmarkStart w:id="12" w:name="_cbf881e6_e64e_4deb_aa56_3e4a268f0531"/>
      <w:bookmarkStart w:id="13" w:name="Tc_b84aQSrMhUyAilTFjguybA_3_2"/>
      <w:bookmarkStart w:id="14" w:name="Tc_4mfIYCArlEGHQJ82QG5-Xg_3_0"/>
      <w:bookmarkStart w:id="15" w:name="Tc_9HKH3s9Q0UCRd98H01okAw_2_0"/>
      <w:bookmarkStart w:id="16" w:name="_cbf881e6_e64e_4deb_aa56_3e4a268f0531"/>
      <w:bookmarkEnd w:id="13"/>
      <w:bookmarkEnd w:id="14"/>
      <w:bookmarkEnd w:id="15"/>
      <w:bookmarkEnd w:id="16"/>
    </w:p>
    <w:tbl>
      <w:tblPr>
        <w:tblW w:w="4663" w:type="dxa"/>
        <w:jc w:val="left"/>
        <w:tblInd w:w="0" w:type="dxa"/>
        <w:tblLayout w:type="fixed"/>
        <w:tblCellMar>
          <w:top w:w="0" w:type="dxa"/>
          <w:left w:w="0" w:type="dxa"/>
          <w:bottom w:w="0" w:type="dxa"/>
          <w:right w:w="0" w:type="dxa"/>
        </w:tblCellMar>
      </w:tblPr>
      <w:tblGrid>
        <w:gridCol w:w="3301"/>
        <w:gridCol w:w="326"/>
        <w:gridCol w:w="1036"/>
      </w:tblGrid>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 Corporate Court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240"/>
              <w:ind w:left="0" w:right="0" w:hanging="0"/>
              <w:jc w:val="left"/>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South Plainfield, NJ</w:t>
            </w:r>
          </w:p>
        </w:tc>
        <w:tc>
          <w:tcPr>
            <w:tcW w:w="32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07080</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2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(908) 222-7000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NOXcwL2X8USCZwQU-lLfkw_1_4"/>
      <w:bookmarkStart w:id="18" w:name="Tc_bbEJLM9-2EuHymZrgElc-Q_1_2"/>
      <w:bookmarkStart w:id="19" w:name="Tc_VbfJZTA49kSbwnx1wlBn0w_1_0"/>
      <w:bookmarkStart w:id="20" w:name="_2f4a0eea_05cf_4b07_a8bf_faf265e280c1"/>
      <w:bookmarkStart w:id="21" w:name="Tc_NOXcwL2X8USCZwQU-lLfkw_1_4"/>
      <w:bookmarkStart w:id="22" w:name="Tc_bbEJLM9-2EuHymZrgElc-Q_1_2"/>
      <w:bookmarkStart w:id="23" w:name="Tc_VbfJZTA49kSbwnx1wlBn0w_1_0"/>
      <w:bookmarkStart w:id="24" w:name="_2f4a0eea_05cf_4b07_a8bf_faf265e280c1"/>
      <w:bookmarkEnd w:id="21"/>
      <w:bookmarkEnd w:id="22"/>
      <w:bookmarkEnd w:id="23"/>
      <w:bookmarkEnd w:id="24"/>
    </w:p>
    <w:tbl>
      <w:tblPr>
        <w:tblW w:w="9775" w:type="dxa"/>
        <w:jc w:val="left"/>
        <w:tblInd w:w="0" w:type="dxa"/>
        <w:tblLayout w:type="fixed"/>
        <w:tblCellMar>
          <w:top w:w="0" w:type="dxa"/>
          <w:left w:w="0" w:type="dxa"/>
          <w:bottom w:w="0" w:type="dxa"/>
          <w:right w:w="0" w:type="dxa"/>
        </w:tblCellMar>
      </w:tblPr>
      <w:tblGrid>
        <w:gridCol w:w="3601"/>
        <w:gridCol w:w="326"/>
        <w:gridCol w:w="1696"/>
        <w:gridCol w:w="326"/>
        <w:gridCol w:w="3826"/>
      </w:tblGrid>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26" w:type="dxa"/>
            <w:tcBorders/>
            <w:vAlign w:val="center"/>
          </w:tcPr>
          <w:p>
            <w:pPr>
              <w:pStyle w:val="TableContents"/>
              <w:bidi w:val="0"/>
              <w:spacing w:before="0" w:after="0"/>
              <w:ind w:left="0" w:right="0" w:hanging="0"/>
              <w:jc w:val="left"/>
              <w:rPr/>
            </w:pPr>
            <w:r>
              <w:rPr/>
              <w:t>​</w:t>
            </w:r>
          </w:p>
        </w:tc>
      </w:tr>
      <w:tr>
        <w:trPr/>
        <w:tc>
          <w:tcPr>
            <w:tcW w:w="360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left"/>
              <w:rPr/>
            </w:pPr>
            <w:r>
              <w:rPr/>
              <w:t>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26" w:type="dxa"/>
            <w:tcBorders/>
            <w:vAlign w:val="center"/>
          </w:tcPr>
          <w:p>
            <w:pPr>
              <w:pStyle w:val="TableContents"/>
              <w:bidi w:val="0"/>
              <w:spacing w:before="0" w:after="0"/>
              <w:ind w:left="0" w:right="0" w:hanging="0"/>
              <w:jc w:val="center"/>
              <w:rPr/>
            </w:pPr>
            <w:r>
              <w:rPr/>
              <w:t>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0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 per share</w:t>
            </w:r>
          </w:p>
        </w:tc>
        <w:tc>
          <w:tcPr>
            <w:tcW w:w="326" w:type="dxa"/>
            <w:tcBorders/>
            <w:vAlign w:val="center"/>
          </w:tcPr>
          <w:p>
            <w:pPr>
              <w:pStyle w:val="TableContents"/>
              <w:bidi w:val="0"/>
              <w:spacing w:before="0" w:after="240"/>
              <w:ind w:left="0" w:right="0" w:hanging="0"/>
              <w:jc w:val="left"/>
              <w:rPr/>
            </w:pPr>
            <w:r>
              <w:rPr/>
              <w:t>​</w:t>
            </w:r>
          </w:p>
        </w:tc>
        <w:tc>
          <w:tcPr>
            <w:tcW w:w="169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PTCT</w:t>
            </w:r>
          </w:p>
        </w:tc>
        <w:tc>
          <w:tcPr>
            <w:tcW w:w="326" w:type="dxa"/>
            <w:tcBorders/>
            <w:vAlign w:val="center"/>
          </w:tcPr>
          <w:p>
            <w:pPr>
              <w:pStyle w:val="TableContents"/>
              <w:bidi w:val="0"/>
              <w:spacing w:before="0" w:after="240"/>
              <w:ind w:left="0" w:right="0" w:hanging="0"/>
              <w:jc w:val="center"/>
              <w:rPr/>
            </w:pPr>
            <w:r>
              <w:rPr/>
              <w:t>​</w:t>
            </w:r>
          </w:p>
        </w:tc>
        <w:tc>
          <w:tcPr>
            <w:tcW w:w="382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6N6nehnkx0-T5k7BlDhzTQ_5_2"/>
      <w:bookmarkStart w:id="26" w:name="Tc_iqCxbeXKnUuziz6kACMuug_3_2"/>
      <w:bookmarkStart w:id="27" w:name="Tc_nGvXHI7MkEGgc-94XpLh5g_3_1"/>
      <w:bookmarkStart w:id="28" w:name="Tc_XcFbWzlEP0-ptZCq48KdLg_3_0"/>
      <w:bookmarkStart w:id="29" w:name="Tc_i6l1PH1OZEaqPGj8FK2x2A_1_3"/>
      <w:bookmarkStart w:id="30" w:name="Tc_Q8lxJZuuQkKPZyaJ5tQYXw_1_2"/>
      <w:bookmarkStart w:id="31" w:name="Tc_zv-aBcKdS0GkdtTp_PEXXg_1_1"/>
      <w:bookmarkStart w:id="32" w:name="_f50cba8c_9930_428a_92ac_6262de7518ff"/>
      <w:bookmarkStart w:id="33" w:name="Tc_6N6nehnkx0-T5k7BlDhzTQ_5_2"/>
      <w:bookmarkStart w:id="34" w:name="Tc_iqCxbeXKnUuziz6kACMuug_3_2"/>
      <w:bookmarkStart w:id="35" w:name="Tc_nGvXHI7MkEGgc-94XpLh5g_3_1"/>
      <w:bookmarkStart w:id="36" w:name="Tc_XcFbWzlEP0-ptZCq48KdLg_3_0"/>
      <w:bookmarkStart w:id="37" w:name="Tc_i6l1PH1OZEaqPGj8FK2x2A_1_3"/>
      <w:bookmarkStart w:id="38" w:name="Tc_Q8lxJZuuQkKPZyaJ5tQYXw_1_2"/>
      <w:bookmarkStart w:id="39" w:name="Tc_zv-aBcKdS0GkdtTp_PEXXg_1_1"/>
      <w:bookmarkStart w:id="40" w:name="_f50cba8c_9930_428a_92ac_6262de7518ff"/>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center"/>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240"/>
              <w:ind w:left="0" w:right="0" w:hanging="0"/>
              <w:jc w:val="center"/>
              <w:rPr/>
            </w:pPr>
            <w:r>
              <w:rPr/>
              <w:t>​</w:t>
            </w:r>
          </w:p>
        </w:tc>
        <w:tc>
          <w:tcPr>
            <w:tcW w:w="361" w:type="dxa"/>
            <w:tcBorders/>
            <w:vAlign w:val="center"/>
          </w:tcPr>
          <w:p>
            <w:pPr>
              <w:pStyle w:val="TableContents"/>
              <w:bidi w:val="0"/>
              <w:spacing w:before="0" w:after="240"/>
              <w:ind w:left="0" w:right="0" w:hanging="0"/>
              <w:jc w:val="center"/>
              <w:rPr/>
            </w:pPr>
            <w:r>
              <w:rPr/>
              <w:t>​</w:t>
            </w:r>
          </w:p>
        </w:tc>
      </w:tr>
      <w:tr>
        <w:trPr/>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center"/>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240"/>
              <w:ind w:left="0" w:right="0" w:hanging="0"/>
              <w:jc w:val="center"/>
              <w:rPr/>
            </w:pPr>
            <w:r>
              <w:rPr/>
              <w:t>​</w:t>
            </w:r>
          </w:p>
        </w:tc>
        <w:tc>
          <w:tcPr>
            <w:tcW w:w="361" w:type="dxa"/>
            <w:tcBorders/>
            <w:vAlign w:val="center"/>
          </w:tcPr>
          <w:p>
            <w:pPr>
              <w:pStyle w:val="TableContents"/>
              <w:bidi w:val="0"/>
              <w:spacing w:before="0" w:after="240"/>
              <w:ind w:left="0" w:right="0" w:hanging="0"/>
              <w:jc w:val="center"/>
              <w:rPr/>
            </w:pPr>
            <w:r>
              <w:rPr/>
              <w:t>​</w:t>
            </w:r>
          </w:p>
        </w:tc>
      </w:tr>
      <w:tr>
        <w:trPr/>
        <w:tc>
          <w:tcPr>
            <w:tcW w:w="1921" w:type="dxa"/>
            <w:tcBorders/>
            <w:vAlign w:val="center"/>
          </w:tcPr>
          <w:p>
            <w:pPr>
              <w:pStyle w:val="TableContents"/>
              <w:bidi w:val="0"/>
              <w:spacing w:before="0" w:after="240"/>
              <w:ind w:left="0" w:right="0" w:hanging="0"/>
              <w:jc w:val="center"/>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of August 1, 2023, there were 75,344,951 shares of Common Stock, $0.001 par value per share, outstanding.</w:t>
      </w:r>
    </w:p>
    <w:p>
      <w:pPr>
        <w:pStyle w:val="TextBody"/>
        <w:pBdr>
          <w:top w:val="single" w:sz="8" w:space="1" w:color="000000"/>
          <w:bottom w:val="single" w:sz="24" w:space="1" w:color="000000"/>
        </w:pBdr>
        <w:bidi w:val="0"/>
        <w:spacing w:lineRule="atLeast" w:line="142"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TOC"/>
      <w:bookmarkStart w:id="42" w:name="_b611c266_008d_4ff6_b22e_f29c5ab56936"/>
      <w:bookmarkEnd w:id="41"/>
      <w:bookmarkEnd w:id="42"/>
      <w:r>
        <w:rPr>
          <w:rFonts w:ascii="Times New Roman;Times;serif" w:hAnsi="Times New Roman;Times;serif"/>
          <w:b/>
          <w:sz w:val="20"/>
        </w:rPr>
        <w:t>TABLE OF CONTENTS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PTC Therapeutics, Inc.</w:t>
      </w:r>
    </w:p>
    <w:tbl>
      <w:tblPr>
        <w:tblW w:w="8882" w:type="dxa"/>
        <w:jc w:val="left"/>
        <w:tblInd w:w="0" w:type="dxa"/>
        <w:tblLayout w:type="fixed"/>
        <w:tblCellMar>
          <w:top w:w="0" w:type="dxa"/>
          <w:left w:w="0" w:type="dxa"/>
          <w:bottom w:w="0" w:type="dxa"/>
          <w:right w:w="0" w:type="dxa"/>
        </w:tblCellMar>
      </w:tblPr>
      <w:tblGrid>
        <w:gridCol w:w="7981"/>
        <w:gridCol w:w="901"/>
      </w:tblGrid>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981" w:type="dxa"/>
            <w:tcBorders/>
            <w:vAlign w:val="center"/>
          </w:tcPr>
          <w:p>
            <w:pPr>
              <w:pStyle w:val="TableContents"/>
              <w:bidi w:val="0"/>
              <w:spacing w:before="0" w:after="0"/>
              <w:ind w:left="0" w:right="0" w:hanging="0"/>
              <w:jc w:val="center"/>
              <w:rPr/>
            </w:pPr>
            <w:hyperlink w:anchor="PARTIFINANCIALINFORMATION_746227">
              <w:r>
                <w:rPr>
                  <w:rStyle w:val="InternetLink"/>
                  <w:rFonts w:ascii="Times New Roman;Times;serif" w:hAnsi="Times New Roman;Times;serif"/>
                  <w:b/>
                  <w:i w:val="false"/>
                  <w:caps w:val="false"/>
                  <w:smallCaps w:val="false"/>
                  <w:sz w:val="20"/>
                </w:rPr>
                <w:t>PART I—FINANCIAL INFORMATION</w:t>
              </w:r>
            </w:hyperlink>
          </w:p>
        </w:tc>
        <w:tc>
          <w:tcPr>
            <w:tcW w:w="90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1FinancialStatements_575080">
              <w:r>
                <w:rPr>
                  <w:rStyle w:val="InternetLink"/>
                  <w:rFonts w:ascii="Times New Roman;Times;serif" w:hAnsi="Times New Roman;Times;serif"/>
                  <w:b w:val="false"/>
                  <w:i w:val="false"/>
                  <w:caps w:val="false"/>
                  <w:smallCaps w:val="false"/>
                  <w:sz w:val="20"/>
                </w:rPr>
                <w:t>Item 1. Financial Statements (unaudited)</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4ControlsandProcedures_472098">
              <w:r>
                <w:rPr>
                  <w:rStyle w:val="InternetLink"/>
                  <w:rFonts w:ascii="Times New Roman;Times;serif" w:hAnsi="Times New Roman;Times;serif"/>
                  <w:b w:val="false"/>
                  <w:i w:val="false"/>
                  <w:caps w:val="false"/>
                  <w:smallCaps w:val="false"/>
                  <w:sz w:val="20"/>
                </w:rPr>
                <w:t>Item 4. Controls and Procedures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center"/>
              <w:rPr/>
            </w:pPr>
            <w:hyperlink w:anchor="PARTIIOTHERINFORMATION_312536">
              <w:r>
                <w:rPr>
                  <w:rStyle w:val="InternetLink"/>
                  <w:rFonts w:ascii="Times New Roman;Times;serif" w:hAnsi="Times New Roman;Times;serif"/>
                  <w:b/>
                  <w:i w:val="false"/>
                  <w:caps w:val="false"/>
                  <w:smallCaps w:val="false"/>
                  <w:sz w:val="20"/>
                </w:rPr>
                <w:t>PART II—OTHER INFORMATION</w:t>
              </w:r>
            </w:hyperlink>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1LegalProceedings_593195">
              <w:r>
                <w:rPr>
                  <w:rStyle w:val="InternetLink"/>
                  <w:rFonts w:ascii="Times New Roman;Times;serif" w:hAnsi="Times New Roman;Times;serif"/>
                  <w:b w:val="false"/>
                  <w:i w:val="false"/>
                  <w:caps w:val="false"/>
                  <w:smallCaps w:val="false"/>
                  <w:sz w:val="20"/>
                </w:rPr>
                <w:t>Item 1. Legal Proceedings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1ARiskFactors_708797">
              <w:r>
                <w:rPr>
                  <w:rStyle w:val="InternetLink"/>
                  <w:rFonts w:ascii="Times New Roman;Times;serif" w:hAnsi="Times New Roman;Times;serif"/>
                  <w:b w:val="false"/>
                  <w:i w:val="false"/>
                  <w:caps w:val="false"/>
                  <w:smallCaps w:val="false"/>
                  <w:sz w:val="20"/>
                </w:rPr>
                <w:t>Item 1A. Risk Factors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5OtherInformation_403682">
              <w:r>
                <w:rPr>
                  <w:rStyle w:val="InternetLink"/>
                  <w:rFonts w:ascii="Times New Roman;Times;serif" w:hAnsi="Times New Roman;Times;serif"/>
                  <w:b w:val="false"/>
                  <w:i w:val="false"/>
                  <w:caps w:val="false"/>
                  <w:smallCaps w:val="false"/>
                  <w:sz w:val="20"/>
                </w:rPr>
                <w:t>Item 5. Other Information</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798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r>
      <w:tr>
        <w:trPr/>
        <w:tc>
          <w:tcPr>
            <w:tcW w:w="7981" w:type="dxa"/>
            <w:tcBorders/>
            <w:vAlign w:val="center"/>
          </w:tcPr>
          <w:p>
            <w:pPr>
              <w:pStyle w:val="TableContents"/>
              <w:bidi w:val="0"/>
              <w:spacing w:before="0" w:after="0"/>
              <w:ind w:left="0" w:right="0" w:hanging="0"/>
              <w:jc w:val="left"/>
              <w:rPr/>
            </w:pPr>
            <w:hyperlink w:anchor="Item6Exhibits_210333">
              <w:r>
                <w:rPr>
                  <w:rStyle w:val="InternetLink"/>
                  <w:rFonts w:ascii="Times New Roman;Times;serif" w:hAnsi="Times New Roman;Times;serif"/>
                  <w:b w:val="false"/>
                  <w:i w:val="false"/>
                  <w:caps w:val="false"/>
                  <w:smallCaps w:val="false"/>
                  <w:sz w:val="20"/>
                </w:rPr>
                <w:t>Item 6. Exhibits</w:t>
              </w:r>
            </w:hyperlink>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_87ecb49b_7fac_4b84_9364_97c02f256f1e"/>
      <w:bookmarkEnd w:id="43"/>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forward-looking statements in this Quarterly Report on Form 10-Q include, among other things,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secure and maintain adequate pricing, coverage and reimbursement terms and processes on a timely basis, or at all, with third-party payors for our products or product candidates that we commercialize or may commercialize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expectations with respect to our ability to commercialize Upstaza</w:t>
            </w:r>
            <w:r>
              <w:rPr>
                <w:rFonts w:ascii="Times New Roman;Times;serif" w:hAnsi="Times New Roman;Times;serif"/>
                <w:b w:val="false"/>
                <w:i w:val="false"/>
                <w:caps w:val="false"/>
                <w:smallCaps w:val="false"/>
                <w:sz w:val="15"/>
              </w:rPr>
              <w:t xml:space="preserve">TM </w:t>
            </w:r>
            <w:r>
              <w:rPr>
                <w:rFonts w:ascii="Times New Roman;Times;serif" w:hAnsi="Times New Roman;Times;serif"/>
                <w:b w:val="false"/>
                <w:i w:val="false"/>
                <w:caps w:val="false"/>
                <w:smallCaps w:val="false"/>
                <w:sz w:val="20"/>
              </w:rPr>
              <w:t>(eladocagene exuparvovec) for the treatment of Aromatic L-Amino Acid Decarboxylase, or AADC deficiency, in the European Economic Area, or EEA, any potential regulatory submissions and potential approvals for our product candidates, our manufacturing capabilities and the potential financial impact and benefits of our leased biologics manufacturing facility and the potential achievement of development, regulatory and sales milestones and contingent payments that we may be obligated to make;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ability to maintain our marketing authorization of Translarna</w:t>
            </w:r>
            <w:r>
              <w:rPr>
                <w:rFonts w:ascii="Times New Roman;Times;serif" w:hAnsi="Times New Roman;Times;serif"/>
                <w:b w:val="false"/>
                <w:i w:val="false"/>
                <w:caps w:val="false"/>
                <w:smallCaps w:val="false"/>
                <w:sz w:val="15"/>
              </w:rPr>
              <w:t xml:space="preserve">TM </w:t>
            </w:r>
            <w:r>
              <w:rPr>
                <w:rFonts w:ascii="Times New Roman;Times;serif" w:hAnsi="Times New Roman;Times;serif"/>
                <w:b w:val="false"/>
                <w:i w:val="false"/>
                <w:caps w:val="false"/>
                <w:smallCaps w:val="false"/>
                <w:sz w:val="20"/>
              </w:rPr>
              <w:t>(ataluren)</w:t>
            </w:r>
            <w:r>
              <w:rPr>
                <w:caps w:val="false"/>
                <w:smallCaps w:val="false"/>
              </w:rPr>
              <w:t xml:space="preserve"> </w:t>
            </w:r>
            <w:r>
              <w:rPr>
                <w:rFonts w:ascii="Times New Roman;Times;serif" w:hAnsi="Times New Roman;Times;serif"/>
                <w:b w:val="false"/>
                <w:i w:val="false"/>
                <w:caps w:val="false"/>
                <w:smallCaps w:val="false"/>
                <w:sz w:val="20"/>
              </w:rPr>
              <w:t>for the treatment of nonsense mutation Duchenne muscular dystrophy, or nmDMD, in the EEA, which is subject to the specific obligation to conduct and submit the results of Study 041 to the European Medicines Agency, or EMA, and annual review and renewal by the European Commission following reassessment of the benefit-risk balance of the authorization by the EMA;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results from Study 041 to support a conversion of the conditional marketing authorization for Translarna for the treatment of nmDMD in the EEA to a standard marketing authorization and to support a marketing approval for Translarna for the treatment of nmDMD in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period of market exclusivity for Emflaza® (deflazacort) for the treatment of Duchenne muscular dystrophy in the United States under the Orphan Drug Act of 1983;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commercial status of Evrysdi® (risdiplam) and our program directed against spinal muscular atrophy in collaboration with F. Hoffmann La Roche Ltd and Hoffmann La Roche Inc. and the Spinal Muscular Atrophy Foundation and our estimates regarding future revenues from sales-based royalty payments or the achievement of milestones in that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expectations and the potential financial impact and benefits related to our Collaboration and License Agreement with a subsidiary of Ionis Pharmaceuticals, Inc. including with respect to the timing of regulatory approval of Tegsedi</w:t>
            </w:r>
            <w:r>
              <w:rPr>
                <w:rFonts w:ascii="Times New Roman;Times;serif" w:hAnsi="Times New Roman;Times;serif"/>
                <w:b w:val="false"/>
                <w:i w:val="false"/>
                <w:caps w:val="false"/>
                <w:smallCaps w:val="false"/>
                <w:sz w:val="15"/>
              </w:rPr>
              <w:t>®</w:t>
            </w:r>
            <w:r>
              <w:rPr>
                <w:caps w:val="false"/>
                <w:smallCaps w:val="false"/>
              </w:rPr>
              <w:t> </w:t>
            </w:r>
            <w:r>
              <w:rPr>
                <w:rFonts w:ascii="Times New Roman;Times;serif" w:hAnsi="Times New Roman;Times;serif"/>
                <w:b w:val="false"/>
                <w:i w:val="false"/>
                <w:caps w:val="false"/>
                <w:smallCaps w:val="false"/>
                <w:sz w:val="20"/>
              </w:rPr>
              <w:t>(inotersen) and Waylivra</w:t>
            </w:r>
            <w:r>
              <w:rPr>
                <w:rFonts w:ascii="Times New Roman;Times;serif" w:hAnsi="Times New Roman;Times;serif"/>
                <w:b w:val="false"/>
                <w:i w:val="false"/>
                <w:caps w:val="false"/>
                <w:smallCaps w:val="false"/>
                <w:sz w:val="15"/>
              </w:rPr>
              <w:t>TM</w:t>
            </w:r>
            <w:r>
              <w:rPr>
                <w:caps w:val="false"/>
                <w:smallCaps w:val="false"/>
              </w:rPr>
              <w:t> </w:t>
            </w:r>
            <w:r>
              <w:rPr>
                <w:rFonts w:ascii="Times New Roman;Times;serif" w:hAnsi="Times New Roman;Times;serif"/>
                <w:b w:val="false"/>
                <w:i w:val="false"/>
                <w:caps w:val="false"/>
                <w:smallCaps w:val="false"/>
                <w:sz w:val="20"/>
              </w:rPr>
              <w:t>(volanesorsen) in countries in which we are licensed to commercialize them, the commercialization of Tegsedi and Waylivra, and our expectations with respect to royalty payments by us based on our potential achievement of certain net sales thresholds;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scope of our commercialization of our products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the potential market opportunity for our products or product candidates, including the size of eligible patient populations and our ability to identify such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and maintain existing reimbursed named patient and cohort early access programs for our products on adequate terms, or at all;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future revenues, third-party discounts and rebates, capital requirements and needs for additional financing, including our ability to maintain the level of our expenses consistent with our internal budgets and forecasts and to secure additional funds on favorable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conduct of our ongoing, planned and potential future clinical trials and studies in our splicing, metabolic, Bio-e and oncology programs as well as studies in our products for maintaining authorizations, label extensions and additional indications, including the timing of initiation, enrollment and completion of the trials and the period during which the results of the trials will become available;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anticipated benefits of our acquisitions or other strategic transactions, including the possibility that the expected impact of benefits from the acquisitions or strategic transactions will not be realized or will not be realized within the expected time period, significant transaction costs, the integration of operations and employees into our business, our ability to obtain marketing approval of our product candidates we acquired from the acquisitions or other strategic transactions and unknown liabilities;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and clinical utility of any of our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patients and healthcare professionals to access our products and product candidates through alternative means if pricing and reimbursement negotiations in the applicable territory do not have a positive outcome;</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additional marketing authorizations for our products and product candidates;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products and our product candidates to meet existing or future regulatory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Study 041, a multicenter, randomized, double-blind, 18-month, placebo-controlled clinical trial of Translarna for the treatment of nmDMD followed by an 18-month open-label extension, according to the protocol agreed with the EMA;</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receipt of revenues from future sales of our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marketing and distribution capabilities and strategy, including the ability of our third-party manufacturers to manufacture and deliver our products and product candidates in clinically and commercially sufficient quantities and the ability of distributors to process orders in a timely manner and satisfy their other obligations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arrangements for the manufacture of our products and product candidates that are sufficient to meet clinical trial and commercial launch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timing and financial aspects of the discontinuation of our preclinical and early research programs in gene therapy and reduction in workforce;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COVID-19 pandemic and related response measures and their effects on our business, operations, clinical trials, potential regulatory submissions and approvals, our collaborators, contract research organizations, suppliers and manufacturers;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any post-marketing requirements imposed by regulatory agencies with respect to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with respect to the potential financial impact and benefits of our leased biologics manufacturing facility and our ability to satisfy our obligations under the terms of the lease agreement for such facility;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ability to satisfy our obligations under the terms of the credit agreement with funds and other affiliated entities advised or managed by</w:t>
            </w:r>
            <w:r>
              <w:rPr>
                <w:caps w:val="false"/>
                <w:smallCaps w:val="false"/>
                <w:shd w:fill="FFFFFF" w:val="clear"/>
              </w:rPr>
              <w:t> </w:t>
            </w:r>
            <w:r>
              <w:rPr>
                <w:rFonts w:ascii="Times New Roman;Times;serif" w:hAnsi="Times New Roman;Times;serif"/>
                <w:b w:val="false"/>
                <w:i w:val="false"/>
                <w:caps w:val="false"/>
                <w:smallCaps w:val="false"/>
                <w:sz w:val="20"/>
                <w:shd w:fill="FFFFFF" w:val="clear"/>
              </w:rPr>
              <w:t>Blackstone Life Sciences and Blackstone Credit and Wilmington Trust, National Association, as the administrative agent</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the indenture governing our 1.50% convertible senior notes due September 15, 2026;</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regulatory submissions, including with respect to timing and outcome of regulatory review;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advance our earlier stage programs and pursue research and development of other product candidates, including our splicing, metabolic, Bio-e and oncology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may pursue business development opportunities, including potential collaborations, alliances, and acquisition or licensing of assets and our ability to successfully develop or commercialize any assets to which we may gain rights pursuant to such business development opportunities;</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advantages of our products and any product candidate;</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government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litigation that has been or may be brought against us or of litigation that we are pursuing against others; and</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Part II, Item 1A. Risk Factors as well as in Part I, Item 1A. Risk Factors in our Annual Report on Form 10-K for the year ended December 31, 2022,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have filed as exhibits to this Quarterly Report on Form 10-Q and our Annual Report on Form 10-K for the year ended December 31, 2022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Quarterly Report on Form 10-Q, unless otherwise stated or the context otherwise requires, references to “PTC,” “PTC Therapeutics,” “the Company,” “we,” “us,” “our,” and similar references refer to PTC Therapeutics, Inc. and, where appropriate, its subsidiaries. The trademarks, trade names and service marks appearing in this Quarterly Report on Form 10-Q are the property of their respective owners.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website addresses given in this Quarterly Report on Form 10-Q are for information only and are not intended to be an active link or to incorporate any website information into this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4" w:name="PARTIFINANCIALINFORMATION_746227"/>
      <w:bookmarkStart w:id="45" w:name="_230c5bb2_4341_4957_ab43_1961ee03b2e7"/>
      <w:bookmarkEnd w:id="44"/>
      <w:bookmarkEnd w:id="45"/>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sz w:val="20"/>
        </w:rPr>
      </w:pPr>
      <w:bookmarkStart w:id="46" w:name="Item1FinancialStatements_575080"/>
      <w:bookmarkEnd w:id="46"/>
      <w:r>
        <w:rPr>
          <w:rFonts w:ascii="Times New Roman;Times;serif" w:hAnsi="Times New Roman;Times;serif"/>
          <w:b/>
          <w:sz w:val="20"/>
        </w:rPr>
        <w:t>Item 1. Financial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Sheets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 (except shares)</w:t>
      </w:r>
    </w:p>
    <w:p>
      <w:pPr>
        <w:pStyle w:val="Normal"/>
        <w:bidi w:val="0"/>
        <w:spacing w:before="0" w:after="0"/>
        <w:jc w:val="left"/>
        <w:rPr>
          <w:sz w:val="4"/>
          <w:szCs w:val="4"/>
        </w:rPr>
      </w:pPr>
      <w:r>
        <w:rPr>
          <w:sz w:val="4"/>
          <w:szCs w:val="4"/>
        </w:rPr>
      </w:r>
      <w:bookmarkStart w:id="47" w:name="Tc_o7pPvN7_ikait3ktrUP_lg_39_5"/>
      <w:bookmarkStart w:id="48" w:name="Tc_Kxi01qjOZUGQRHF2bSYaiQ_39_2"/>
      <w:bookmarkStart w:id="49" w:name="Tc_gdT7SGUWK0ywK-Cb1bCoTw_39_0"/>
      <w:bookmarkStart w:id="50" w:name="Tc_lkVpWS9lOEKizxAhRc0k0A_38_0"/>
      <w:bookmarkStart w:id="51" w:name="Tc_SlJHOqziLkG6D8vRnXE9Cw_37_0"/>
      <w:bookmarkStart w:id="52" w:name="Tc_zkQd1q3hbEGSaqzU5HO-gw_36_0"/>
      <w:bookmarkStart w:id="53" w:name="Tc_s1irrc_8-Ei36cM2c4xFQw_35_0"/>
      <w:bookmarkStart w:id="54" w:name="Tc_RA7TE4f1qEWewMiJ_uzc0w_34_0"/>
      <w:bookmarkStart w:id="55" w:name="Tc_OROwBWFG-U-OQ0hHCVgMlw_33_0"/>
      <w:bookmarkStart w:id="56" w:name="Tc_LfPnB6Pu6k-y8wK8mYQJkQ_32_0"/>
      <w:bookmarkStart w:id="57" w:name="Tc_7GnXVTKa8k6aofbqtSp57g_31_0"/>
      <w:bookmarkStart w:id="58" w:name="Tc_W37UHZNfCEm5F7EBhqYQuA_30_0"/>
      <w:bookmarkStart w:id="59" w:name="Tc_VyjbHk5fX0mu6stKGqcZPg_29_0"/>
      <w:bookmarkStart w:id="60" w:name="Tc_wJTZzTohs0uOr1vnO3H_QA_28_0"/>
      <w:bookmarkStart w:id="61" w:name="Tc_I3eRPdh-qUGVf8swb1lZlw_27_0"/>
      <w:bookmarkStart w:id="62" w:name="Tc_RecuxJ2PykKafQsO8iwVrw_26_0"/>
      <w:bookmarkStart w:id="63" w:name="Tc_ZWwIrGFEmEuIq9JW_Mgkpw_25_0"/>
      <w:bookmarkStart w:id="64" w:name="Tc_GGaaneTZhkaw4RjF-3T_9A_24_0"/>
      <w:bookmarkStart w:id="65" w:name="Tc_4jiUE4wMrkW2zjvmPEW8qQ_23_0"/>
      <w:bookmarkStart w:id="66" w:name="Tc_1qp0yylWY0KTXNlfPEjnfg_22_0"/>
      <w:bookmarkStart w:id="67" w:name="Tc_bwGAXZFXh0iJpmp8kUuivw_21_0"/>
      <w:bookmarkStart w:id="68" w:name="Tc_XTvQFzxUEEGOh8A6QzmChw_20_3"/>
      <w:bookmarkStart w:id="69" w:name="Tc_vIZJ8CUAAEO8fVMTzEO-0A_20_0"/>
      <w:bookmarkStart w:id="70" w:name="Tc_8f5CQqvVpEecwJ8t_0-IUw_19_5"/>
      <w:bookmarkStart w:id="71" w:name="Tc_vyBfzE_OE0Gg2AFX42B0aA_19_2"/>
      <w:bookmarkStart w:id="72" w:name="Tc_LlbHKPOsqk6XCzP-_DVmpA_19_0"/>
      <w:bookmarkStart w:id="73" w:name="Tc_qnwr9_GTwEqiYpCcGh4pww_18_0"/>
      <w:bookmarkStart w:id="74" w:name="Tc_3SndJlV7AEmcYTTFX-dP7w_17_0"/>
      <w:bookmarkStart w:id="75" w:name="Tc_lndQvRYkrEiuxZ0nAq0RJg_16_5"/>
      <w:bookmarkStart w:id="76" w:name="Tc_V4F6hs8TBUeburmVSDFPTw_16_2"/>
      <w:bookmarkStart w:id="77" w:name="Tc_9W2Gmip3IkKl7KV2ZzUlFw_16_0"/>
      <w:bookmarkStart w:id="78" w:name="Tc_WefvO6gtg0yD_V1DguMd0w_15_0"/>
      <w:bookmarkStart w:id="79" w:name="Tc_Td7e7Ari0E26dFK_UZ4aTw_14_0"/>
      <w:bookmarkStart w:id="80" w:name="Tc_T-X-u4gTZ0-krKk74cJ2AA_13_0"/>
      <w:bookmarkStart w:id="81" w:name="Tc_Sa3OtVhEoEiaGgsviYUueQ_12_0"/>
      <w:bookmarkStart w:id="82" w:name="Tc_W2KKT5RlOkOiB4DEgx3A-Q_11_0"/>
      <w:bookmarkStart w:id="83" w:name="Tc_0EjHlefw8ECtExHyIYJRpA_10_0"/>
      <w:bookmarkStart w:id="84" w:name="Tc_kVMTrnVJNUGWuH6wxWj1wg_9_0"/>
      <w:bookmarkStart w:id="85" w:name="Tc_gu4f0pljdU6YHVjCVlnH8A_8_0"/>
      <w:bookmarkStart w:id="86" w:name="Tc_Ajz-ayoQ6kuU1LH9L5Qriw_7_0"/>
      <w:bookmarkStart w:id="87" w:name="Tc_a-Zlgu1qv02mP1Ih196EGw_6_0"/>
      <w:bookmarkStart w:id="88" w:name="Tc_MJZIAk4uukO4Uqx5o6DoJw_5_5"/>
      <w:bookmarkStart w:id="89" w:name="Tc_bv1ET2qkP02ZarTqL8wYaA_5_2"/>
      <w:bookmarkStart w:id="90" w:name="Tc_NQp0BR9OAEeK7yJ6ewa9tQ_5_0"/>
      <w:bookmarkStart w:id="91" w:name="Tc_w03obCSZEUC276HrdmfEUQ_4_0"/>
      <w:bookmarkStart w:id="92" w:name="Tc_mvh1DkVA9E-OmWEslhBWYA_3_0"/>
      <w:bookmarkStart w:id="93" w:name="Tc_Ay9C6ZSLu0mq-4wYb0hEjQ_2_5"/>
      <w:bookmarkStart w:id="94" w:name="Tc_jMQzREOdbUeRLB7qRDlwSQ_2_2"/>
      <w:bookmarkStart w:id="95" w:name="Tc_f_qhRgvkD0yR70KjgPJq6Q_1_5"/>
      <w:bookmarkStart w:id="96" w:name="Tc_S_u1AzhIlU-Z_o8qb2aRZg_1_2"/>
      <w:bookmarkStart w:id="97" w:name="_38eee1d0_9679_45c4_8b94_d004db9d16e6"/>
      <w:bookmarkStart w:id="98" w:name="Tc_o7pPvN7_ikait3ktrUP_lg_39_5"/>
      <w:bookmarkStart w:id="99" w:name="Tc_Kxi01qjOZUGQRHF2bSYaiQ_39_2"/>
      <w:bookmarkStart w:id="100" w:name="Tc_gdT7SGUWK0ywK-Cb1bCoTw_39_0"/>
      <w:bookmarkStart w:id="101" w:name="Tc_lkVpWS9lOEKizxAhRc0k0A_38_0"/>
      <w:bookmarkStart w:id="102" w:name="Tc_SlJHOqziLkG6D8vRnXE9Cw_37_0"/>
      <w:bookmarkStart w:id="103" w:name="Tc_zkQd1q3hbEGSaqzU5HO-gw_36_0"/>
      <w:bookmarkStart w:id="104" w:name="Tc_s1irrc_8-Ei36cM2c4xFQw_35_0"/>
      <w:bookmarkStart w:id="105" w:name="Tc_RA7TE4f1qEWewMiJ_uzc0w_34_0"/>
      <w:bookmarkStart w:id="106" w:name="Tc_OROwBWFG-U-OQ0hHCVgMlw_33_0"/>
      <w:bookmarkStart w:id="107" w:name="Tc_LfPnB6Pu6k-y8wK8mYQJkQ_32_0"/>
      <w:bookmarkStart w:id="108" w:name="Tc_7GnXVTKa8k6aofbqtSp57g_31_0"/>
      <w:bookmarkStart w:id="109" w:name="Tc_W37UHZNfCEm5F7EBhqYQuA_30_0"/>
      <w:bookmarkStart w:id="110" w:name="Tc_VyjbHk5fX0mu6stKGqcZPg_29_0"/>
      <w:bookmarkStart w:id="111" w:name="Tc_wJTZzTohs0uOr1vnO3H_QA_28_0"/>
      <w:bookmarkStart w:id="112" w:name="Tc_I3eRPdh-qUGVf8swb1lZlw_27_0"/>
      <w:bookmarkStart w:id="113" w:name="Tc_RecuxJ2PykKafQsO8iwVrw_26_0"/>
      <w:bookmarkStart w:id="114" w:name="Tc_ZWwIrGFEmEuIq9JW_Mgkpw_25_0"/>
      <w:bookmarkStart w:id="115" w:name="Tc_GGaaneTZhkaw4RjF-3T_9A_24_0"/>
      <w:bookmarkStart w:id="116" w:name="Tc_4jiUE4wMrkW2zjvmPEW8qQ_23_0"/>
      <w:bookmarkStart w:id="117" w:name="Tc_1qp0yylWY0KTXNlfPEjnfg_22_0"/>
      <w:bookmarkStart w:id="118" w:name="Tc_bwGAXZFXh0iJpmp8kUuivw_21_0"/>
      <w:bookmarkStart w:id="119" w:name="Tc_XTvQFzxUEEGOh8A6QzmChw_20_3"/>
      <w:bookmarkStart w:id="120" w:name="Tc_vIZJ8CUAAEO8fVMTzEO-0A_20_0"/>
      <w:bookmarkStart w:id="121" w:name="Tc_8f5CQqvVpEecwJ8t_0-IUw_19_5"/>
      <w:bookmarkStart w:id="122" w:name="Tc_vyBfzE_OE0Gg2AFX42B0aA_19_2"/>
      <w:bookmarkStart w:id="123" w:name="Tc_LlbHKPOsqk6XCzP-_DVmpA_19_0"/>
      <w:bookmarkStart w:id="124" w:name="Tc_qnwr9_GTwEqiYpCcGh4pww_18_0"/>
      <w:bookmarkStart w:id="125" w:name="Tc_3SndJlV7AEmcYTTFX-dP7w_17_0"/>
      <w:bookmarkStart w:id="126" w:name="Tc_lndQvRYkrEiuxZ0nAq0RJg_16_5"/>
      <w:bookmarkStart w:id="127" w:name="Tc_V4F6hs8TBUeburmVSDFPTw_16_2"/>
      <w:bookmarkStart w:id="128" w:name="Tc_9W2Gmip3IkKl7KV2ZzUlFw_16_0"/>
      <w:bookmarkStart w:id="129" w:name="Tc_WefvO6gtg0yD_V1DguMd0w_15_0"/>
      <w:bookmarkStart w:id="130" w:name="Tc_Td7e7Ari0E26dFK_UZ4aTw_14_0"/>
      <w:bookmarkStart w:id="131" w:name="Tc_T-X-u4gTZ0-krKk74cJ2AA_13_0"/>
      <w:bookmarkStart w:id="132" w:name="Tc_Sa3OtVhEoEiaGgsviYUueQ_12_0"/>
      <w:bookmarkStart w:id="133" w:name="Tc_W2KKT5RlOkOiB4DEgx3A-Q_11_0"/>
      <w:bookmarkStart w:id="134" w:name="Tc_0EjHlefw8ECtExHyIYJRpA_10_0"/>
      <w:bookmarkStart w:id="135" w:name="Tc_kVMTrnVJNUGWuH6wxWj1wg_9_0"/>
      <w:bookmarkStart w:id="136" w:name="Tc_gu4f0pljdU6YHVjCVlnH8A_8_0"/>
      <w:bookmarkStart w:id="137" w:name="Tc_Ajz-ayoQ6kuU1LH9L5Qriw_7_0"/>
      <w:bookmarkStart w:id="138" w:name="Tc_a-Zlgu1qv02mP1Ih196EGw_6_0"/>
      <w:bookmarkStart w:id="139" w:name="Tc_MJZIAk4uukO4Uqx5o6DoJw_5_5"/>
      <w:bookmarkStart w:id="140" w:name="Tc_bv1ET2qkP02ZarTqL8wYaA_5_2"/>
      <w:bookmarkStart w:id="141" w:name="Tc_NQp0BR9OAEeK7yJ6ewa9tQ_5_0"/>
      <w:bookmarkStart w:id="142" w:name="Tc_w03obCSZEUC276HrdmfEUQ_4_0"/>
      <w:bookmarkStart w:id="143" w:name="Tc_mvh1DkVA9E-OmWEslhBWYA_3_0"/>
      <w:bookmarkStart w:id="144" w:name="Tc_Ay9C6ZSLu0mq-4wYb0hEjQ_2_5"/>
      <w:bookmarkStart w:id="145" w:name="Tc_jMQzREOdbUeRLB7qRDlwSQ_2_2"/>
      <w:bookmarkStart w:id="146" w:name="Tc_f_qhRgvkD0yR70KjgPJq6Q_1_5"/>
      <w:bookmarkStart w:id="147" w:name="Tc_S_u1AzhIlU-Z_o8qb2aRZg_1_2"/>
      <w:bookmarkStart w:id="148" w:name="_38eee1d0_9679_45c4_8b94_d004db9d16e6"/>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tbl>
      <w:tblPr>
        <w:tblW w:w="10205" w:type="dxa"/>
        <w:jc w:val="left"/>
        <w:tblInd w:w="0" w:type="dxa"/>
        <w:tblLayout w:type="fixed"/>
        <w:tblCellMar>
          <w:top w:w="0" w:type="dxa"/>
          <w:left w:w="0" w:type="dxa"/>
          <w:bottom w:w="0" w:type="dxa"/>
          <w:right w:w="0" w:type="dxa"/>
        </w:tblCellMar>
      </w:tblPr>
      <w:tblGrid>
        <w:gridCol w:w="6956"/>
        <w:gridCol w:w="326"/>
        <w:gridCol w:w="211"/>
        <w:gridCol w:w="1010"/>
        <w:gridCol w:w="326"/>
        <w:gridCol w:w="211"/>
        <w:gridCol w:w="1010"/>
        <w:gridCol w:w="155"/>
      </w:tblGrid>
      <w:tr>
        <w:trPr/>
        <w:tc>
          <w:tcPr>
            <w:tcW w:w="6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17060" cy="175260"/>
                      <wp:effectExtent l="0" t="0" r="0" b="0"/>
                      <wp:wrapNone/>
                      <wp:docPr id="1" name="Frame1"/>
                      <a:graphic xmlns:a="http://schemas.openxmlformats.org/drawingml/2006/main">
                        <a:graphicData uri="http://schemas.microsoft.com/office/word/2010/wordprocessingShape">
                          <wps:wsp>
                            <wps:cNvSpPr txBox="1"/>
                            <wps:spPr>
                              <a:xfrm>
                                <a:off x="0" y="0"/>
                                <a:ext cx="441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1350" cy="175260"/>
                      <wp:effectExtent l="0" t="0" r="0" b="0"/>
                      <wp:wrapNone/>
                      <wp:docPr id="4" name="Frame4"/>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1350" cy="175260"/>
                      <wp:effectExtent l="0" t="0" r="0" b="0"/>
                      <wp:wrapNone/>
                      <wp:docPr id="7" name="Frame7"/>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8425" cy="175260"/>
                      <wp:effectExtent l="0" t="0" r="0" b="0"/>
                      <wp:wrapNone/>
                      <wp:docPr id="8" name="Frame8"/>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2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left"/>
              <w:rPr/>
            </w:pPr>
            <w:r>
              <w:rPr/>
              <w:t>​</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pPr>
            <w:r>
              <w:rPr/>
              <w:t>  </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279,834</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130,871</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royalty receivables,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155,614</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21,808</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105,658</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589,691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693,785</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Fixed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72,590</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451,629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705,891</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82,341</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ROU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102,430</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48,582</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1,338,124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1,705,619</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pPr>
            <w:r>
              <w:rPr/>
              <w:t>  </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pPr>
            <w:r>
              <w:rPr/>
              <w:t>  </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358,562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320,366</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1,351</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9,370</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liabilities- 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Liability for sale of future royalties-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105,351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72,149</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476,342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406,236</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572,643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571,722</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payable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164,000</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102,834</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100,860</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liabilities-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18,675</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Liability for sale of future royalties- noncurrent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661,229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685,737</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1,917,392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2,052,705</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pPr>
            <w:r>
              <w:rPr/>
              <w:t>  </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$0.001 par value. Authorized 250,000,000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75,318,233 shares at June 30, 2023. Authorized 250,000,000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73,104,692 shares at December 31, 2022.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2,416,904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2,305,020</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4,796</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(2,994,816)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(2,656,974)</w:t>
            </w:r>
          </w:p>
        </w:tc>
        <w:tc>
          <w:tcPr>
            <w:tcW w:w="155" w:type="dxa"/>
            <w:tcBorders/>
            <w:shd w:fill="CCEEFF" w:val="clear"/>
            <w:vAlign w:val="center"/>
          </w:tcPr>
          <w:p>
            <w:pPr>
              <w:pStyle w:val="TableContents"/>
              <w:bidi w:val="0"/>
              <w:spacing w:before="0" w:after="1"/>
              <w:ind w:left="0" w:right="0" w:hanging="0"/>
              <w:jc w:val="left"/>
              <w:rPr/>
            </w:pPr>
            <w:r>
              <w:rPr/>
              <w:t>​</w:t>
            </w:r>
          </w:p>
        </w:tc>
      </w:tr>
      <w:tr>
        <w:trPr/>
        <w:tc>
          <w:tcPr>
            <w:tcW w:w="6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deficit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(579,268)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(347,086)</w:t>
            </w:r>
          </w:p>
        </w:tc>
        <w:tc>
          <w:tcPr>
            <w:tcW w:w="155" w:type="dxa"/>
            <w:tcBorders/>
            <w:vAlign w:val="center"/>
          </w:tcPr>
          <w:p>
            <w:pPr>
              <w:pStyle w:val="TableContents"/>
              <w:bidi w:val="0"/>
              <w:spacing w:before="0" w:after="1"/>
              <w:ind w:left="0" w:right="0" w:hanging="0"/>
              <w:jc w:val="left"/>
              <w:rPr/>
            </w:pPr>
            <w:r>
              <w:rPr/>
              <w:t>​</w:t>
            </w:r>
          </w:p>
        </w:tc>
      </w:tr>
      <w:tr>
        <w:trPr/>
        <w:tc>
          <w:tcPr>
            <w:tcW w:w="6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1,338,124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1,705,619</w:t>
            </w:r>
          </w:p>
        </w:tc>
        <w:tc>
          <w:tcPr>
            <w:tcW w:w="155"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accompanying unaudited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9" w:name="_9f7d4c37_d214_4bc3_a92e_4eba388d886b"/>
      <w:bookmarkEnd w:id="149"/>
      <w:r>
        <w:rPr>
          <w:rFonts w:ascii="Times New Roman;Times;serif" w:hAnsi="Times New Roman;Times;serif"/>
          <w:b/>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Operations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 (except shares and per share amounts)</w:t>
      </w:r>
    </w:p>
    <w:p>
      <w:pPr>
        <w:pStyle w:val="Normal"/>
        <w:bidi w:val="0"/>
        <w:spacing w:before="0" w:after="0"/>
        <w:jc w:val="left"/>
        <w:rPr>
          <w:sz w:val="4"/>
          <w:szCs w:val="4"/>
        </w:rPr>
      </w:pPr>
      <w:r>
        <w:rPr>
          <w:sz w:val="4"/>
          <w:szCs w:val="4"/>
        </w:rPr>
      </w:r>
      <w:bookmarkStart w:id="150" w:name="Tc_HlaeZcoEm0-d48pPKDMBzw_25_11"/>
      <w:bookmarkStart w:id="151" w:name="Tc_ori6LW73G0WjnjL-Vi_wMg_25_8"/>
      <w:bookmarkStart w:id="152" w:name="Tc_ectCLItEJUOgirWjsTipOQ_25_5"/>
      <w:bookmarkStart w:id="153" w:name="Tc_xjCsrW1p2kKYLThqUpw6RQ_25_2"/>
      <w:bookmarkStart w:id="154" w:name="Tc_cT35M7wxGU65Kc-zDExtgA_25_0"/>
      <w:bookmarkStart w:id="155" w:name="Tc_BJlQnMYgGU-nbswJ8zSd_A_24_0"/>
      <w:bookmarkStart w:id="156" w:name="Tc_2hre8Jwz5UuOSvUaNO0U1Q_23_0"/>
      <w:bookmarkStart w:id="157" w:name="Tc_nEGtofxUL0CBFFTcSgVDwg_22_11"/>
      <w:bookmarkStart w:id="158" w:name="Tc_1DDEiclKP0K0bK9zxUfgvw_22_8"/>
      <w:bookmarkStart w:id="159" w:name="Tc_CW_bidqmV0-aAh9E6kpzCA_22_5"/>
      <w:bookmarkStart w:id="160" w:name="Tc__UpJqXDytEiiF-9Z5-_jgg_22_2"/>
      <w:bookmarkStart w:id="161" w:name="Tc_RpsYsIfmN0-qcn5OMyqq6Q_22_0"/>
      <w:bookmarkStart w:id="162" w:name="Tc_tTJJVVwEoUCR6LIhC5roIQ_21_0"/>
      <w:bookmarkStart w:id="163" w:name="Tc_8JKu0AiTbUWRjWCi6Zh1tg_20_0"/>
      <w:bookmarkStart w:id="164" w:name="Tc_9efb5gITXU6c7rttbNA_mQ_19_0"/>
      <w:bookmarkStart w:id="165" w:name="Tc_5l_4YRpoCEmfbsjL-Zcg7Q_18_0"/>
      <w:bookmarkStart w:id="166" w:name="Tc_ynmZgYuVyES-6lFjHnpHYA_17_0"/>
      <w:bookmarkStart w:id="167" w:name="Tc_LQGzm2_IQESJ0G5nBtxrGg_16_0"/>
      <w:bookmarkStart w:id="168" w:name="Tc_cbgTl0AT3UmC3a0x5-JqRA_15_12"/>
      <w:bookmarkStart w:id="169" w:name="Tc_c0WIe6Z-gUq6IF60SQpQtQ_15_6"/>
      <w:bookmarkStart w:id="170" w:name="Tc_SLftSfgJ4EGQ7htP_-5G9w_15_0"/>
      <w:bookmarkStart w:id="171" w:name="Tc_xhhWK-X_Dkaf8NFyzZ6iBQ_14_0"/>
      <w:bookmarkStart w:id="172" w:name="Tc_Yg84LcbK9kGZqVMnMvhAhg_13_0"/>
      <w:bookmarkStart w:id="173" w:name="Tc_G2bZkoT_y0-GAUL-A5S66Q_12_0"/>
      <w:bookmarkStart w:id="174" w:name="Tc_4OkiuZjU5k-Ioo-n4GViZQ_11_0"/>
      <w:bookmarkStart w:id="175" w:name="Tc_AHXNcgim6kOP2JIsaPEcCA_10_0"/>
      <w:bookmarkStart w:id="176" w:name="Tc_InsYM_YHNkuUqwFe5K9Egg_9_0"/>
      <w:bookmarkStart w:id="177" w:name="Tc_yd0AB9uR0UOfbTWjFKamfA_8_0"/>
      <w:bookmarkStart w:id="178" w:name="Tc_NtNrz1ObrkaJTSFp7rBWzQ_7_12"/>
      <w:bookmarkStart w:id="179" w:name="Tc_Y72wSzFYoUmmzqC0ZEdgSg_7_6"/>
      <w:bookmarkStart w:id="180" w:name="Tc_BXla7wPR1kqUxlo4OOOtaQ_7_0"/>
      <w:bookmarkStart w:id="181" w:name="Tc_DcD8I4ulJkCjjSHlvCrwLA_6_0"/>
      <w:bookmarkStart w:id="182" w:name="Tc_J80ogym3w0SWy9cPlkQkjw_5_6"/>
      <w:bookmarkStart w:id="183" w:name="Tc_jgkny9QBgEW9xBwInCnAnA_5_3"/>
      <w:bookmarkStart w:id="184" w:name="Tc_QVTkUAcS7ESub-o6_ARPQw_5_0"/>
      <w:bookmarkStart w:id="185" w:name="Tc_SlaH0yV2nkO5vaYDxPa4OA_4_11"/>
      <w:bookmarkStart w:id="186" w:name="Tc_44aMHON22UyOxw4FFPMo9A_4_8"/>
      <w:bookmarkStart w:id="187" w:name="Tc_y93zw5bfmkOnjalVeO8B0Q_4_5"/>
      <w:bookmarkStart w:id="188" w:name="Tc_B52_iWGeO0qTxt_ADLw15g_4_2"/>
      <w:bookmarkStart w:id="189" w:name="Tc_BxBKC6TyhEeWUs06w-Pevw_4_0"/>
      <w:bookmarkStart w:id="190" w:name="Tc_xbvoDFBllES6sqv8wUnNoQ_3_0"/>
      <w:bookmarkStart w:id="191" w:name="Tc_ZivvcQUb_keYG-qN_aGoDA_2_11"/>
      <w:bookmarkStart w:id="192" w:name="Tc_7odkc-zVhU6uusDTPKsAjQ_2_8"/>
      <w:bookmarkStart w:id="193" w:name="Tc_yFz0RHf7wUuGdApLFokTqg_2_5"/>
      <w:bookmarkStart w:id="194" w:name="Tc_cGRnXzkheU2tNJwYbJp26g_2_2"/>
      <w:bookmarkStart w:id="195" w:name="Tc_4w3aXd4YG0W_6VCRcnHgug_1_8"/>
      <w:bookmarkStart w:id="196" w:name="Tc_hU_QuSFFSUiaFXv4bfM0NA_1_2"/>
      <w:bookmarkStart w:id="197" w:name="_baa63873_adae_44d5_b9d0_6aa75e6fd961"/>
      <w:bookmarkStart w:id="198" w:name="_5047b162_cb8a_4e35_9884_1dea12a7824a"/>
      <w:bookmarkStart w:id="199" w:name="Tc_HlaeZcoEm0-d48pPKDMBzw_25_11"/>
      <w:bookmarkStart w:id="200" w:name="Tc_ori6LW73G0WjnjL-Vi_wMg_25_8"/>
      <w:bookmarkStart w:id="201" w:name="Tc_ectCLItEJUOgirWjsTipOQ_25_5"/>
      <w:bookmarkStart w:id="202" w:name="Tc_xjCsrW1p2kKYLThqUpw6RQ_25_2"/>
      <w:bookmarkStart w:id="203" w:name="Tc_cT35M7wxGU65Kc-zDExtgA_25_0"/>
      <w:bookmarkStart w:id="204" w:name="Tc_BJlQnMYgGU-nbswJ8zSd_A_24_0"/>
      <w:bookmarkStart w:id="205" w:name="Tc_2hre8Jwz5UuOSvUaNO0U1Q_23_0"/>
      <w:bookmarkStart w:id="206" w:name="Tc_nEGtofxUL0CBFFTcSgVDwg_22_11"/>
      <w:bookmarkStart w:id="207" w:name="Tc_1DDEiclKP0K0bK9zxUfgvw_22_8"/>
      <w:bookmarkStart w:id="208" w:name="Tc_CW_bidqmV0-aAh9E6kpzCA_22_5"/>
      <w:bookmarkStart w:id="209" w:name="Tc__UpJqXDytEiiF-9Z5-_jgg_22_2"/>
      <w:bookmarkStart w:id="210" w:name="Tc_RpsYsIfmN0-qcn5OMyqq6Q_22_0"/>
      <w:bookmarkStart w:id="211" w:name="Tc_tTJJVVwEoUCR6LIhC5roIQ_21_0"/>
      <w:bookmarkStart w:id="212" w:name="Tc_8JKu0AiTbUWRjWCi6Zh1tg_20_0"/>
      <w:bookmarkStart w:id="213" w:name="Tc_9efb5gITXU6c7rttbNA_mQ_19_0"/>
      <w:bookmarkStart w:id="214" w:name="Tc_5l_4YRpoCEmfbsjL-Zcg7Q_18_0"/>
      <w:bookmarkStart w:id="215" w:name="Tc_ynmZgYuVyES-6lFjHnpHYA_17_0"/>
      <w:bookmarkStart w:id="216" w:name="Tc_LQGzm2_IQESJ0G5nBtxrGg_16_0"/>
      <w:bookmarkStart w:id="217" w:name="Tc_cbgTl0AT3UmC3a0x5-JqRA_15_12"/>
      <w:bookmarkStart w:id="218" w:name="Tc_c0WIe6Z-gUq6IF60SQpQtQ_15_6"/>
      <w:bookmarkStart w:id="219" w:name="Tc_SLftSfgJ4EGQ7htP_-5G9w_15_0"/>
      <w:bookmarkStart w:id="220" w:name="Tc_xhhWK-X_Dkaf8NFyzZ6iBQ_14_0"/>
      <w:bookmarkStart w:id="221" w:name="Tc_Yg84LcbK9kGZqVMnMvhAhg_13_0"/>
      <w:bookmarkStart w:id="222" w:name="Tc_G2bZkoT_y0-GAUL-A5S66Q_12_0"/>
      <w:bookmarkStart w:id="223" w:name="Tc_4OkiuZjU5k-Ioo-n4GViZQ_11_0"/>
      <w:bookmarkStart w:id="224" w:name="Tc_AHXNcgim6kOP2JIsaPEcCA_10_0"/>
      <w:bookmarkStart w:id="225" w:name="Tc_InsYM_YHNkuUqwFe5K9Egg_9_0"/>
      <w:bookmarkStart w:id="226" w:name="Tc_yd0AB9uR0UOfbTWjFKamfA_8_0"/>
      <w:bookmarkStart w:id="227" w:name="Tc_NtNrz1ObrkaJTSFp7rBWzQ_7_12"/>
      <w:bookmarkStart w:id="228" w:name="Tc_Y72wSzFYoUmmzqC0ZEdgSg_7_6"/>
      <w:bookmarkStart w:id="229" w:name="Tc_BXla7wPR1kqUxlo4OOOtaQ_7_0"/>
      <w:bookmarkStart w:id="230" w:name="Tc_DcD8I4ulJkCjjSHlvCrwLA_6_0"/>
      <w:bookmarkStart w:id="231" w:name="Tc_J80ogym3w0SWy9cPlkQkjw_5_6"/>
      <w:bookmarkStart w:id="232" w:name="Tc_jgkny9QBgEW9xBwInCnAnA_5_3"/>
      <w:bookmarkStart w:id="233" w:name="Tc_QVTkUAcS7ESub-o6_ARPQw_5_0"/>
      <w:bookmarkStart w:id="234" w:name="Tc_SlaH0yV2nkO5vaYDxPa4OA_4_11"/>
      <w:bookmarkStart w:id="235" w:name="Tc_44aMHON22UyOxw4FFPMo9A_4_8"/>
      <w:bookmarkStart w:id="236" w:name="Tc_y93zw5bfmkOnjalVeO8B0Q_4_5"/>
      <w:bookmarkStart w:id="237" w:name="Tc_B52_iWGeO0qTxt_ADLw15g_4_2"/>
      <w:bookmarkStart w:id="238" w:name="Tc_BxBKC6TyhEeWUs06w-Pevw_4_0"/>
      <w:bookmarkStart w:id="239" w:name="Tc_xbvoDFBllES6sqv8wUnNoQ_3_0"/>
      <w:bookmarkStart w:id="240" w:name="Tc_ZivvcQUb_keYG-qN_aGoDA_2_11"/>
      <w:bookmarkStart w:id="241" w:name="Tc_7odkc-zVhU6uusDTPKsAjQ_2_8"/>
      <w:bookmarkStart w:id="242" w:name="Tc_yFz0RHf7wUuGdApLFokTqg_2_5"/>
      <w:bookmarkStart w:id="243" w:name="Tc_cGRnXzkheU2tNJwYbJp26g_2_2"/>
      <w:bookmarkStart w:id="244" w:name="Tc_4w3aXd4YG0W_6VCRcnHgug_1_8"/>
      <w:bookmarkStart w:id="245" w:name="Tc_hU_QuSFFSUiaFXv4bfM0NA_1_2"/>
      <w:bookmarkStart w:id="246" w:name="_baa63873_adae_44d5_b9d0_6aa75e6fd961"/>
      <w:bookmarkStart w:id="247" w:name="_5047b162_cb8a_4e35_9884_1dea12a7824a"/>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tbl>
      <w:tblPr>
        <w:tblW w:w="10205" w:type="dxa"/>
        <w:jc w:val="left"/>
        <w:tblInd w:w="0" w:type="dxa"/>
        <w:tblLayout w:type="fixed"/>
        <w:tblCellMar>
          <w:top w:w="0" w:type="dxa"/>
          <w:left w:w="0" w:type="dxa"/>
          <w:bottom w:w="0" w:type="dxa"/>
          <w:right w:w="0" w:type="dxa"/>
        </w:tblCellMar>
      </w:tblPr>
      <w:tblGrid>
        <w:gridCol w:w="3759"/>
        <w:gridCol w:w="326"/>
        <w:gridCol w:w="211"/>
        <w:gridCol w:w="1036"/>
        <w:gridCol w:w="326"/>
        <w:gridCol w:w="211"/>
        <w:gridCol w:w="1036"/>
        <w:gridCol w:w="326"/>
        <w:gridCol w:w="211"/>
        <w:gridCol w:w="1036"/>
        <w:gridCol w:w="326"/>
        <w:gridCol w:w="211"/>
        <w:gridCol w:w="1036"/>
        <w:gridCol w:w="154"/>
      </w:tblGrid>
      <w:tr>
        <w:trPr/>
        <w:tc>
          <w:tcPr>
            <w:tcW w:w="3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86965" cy="175260"/>
                      <wp:effectExtent l="0" t="0" r="0" b="0"/>
                      <wp:wrapNone/>
                      <wp:docPr id="9" name="Frame9"/>
                      <a:graphic xmlns:a="http://schemas.openxmlformats.org/drawingml/2006/main">
                        <a:graphicData uri="http://schemas.microsoft.com/office/word/2010/wordprocessingShape">
                          <wps:wsp>
                            <wps:cNvSpPr txBox="1"/>
                            <wps:spPr>
                              <a:xfrm>
                                <a:off x="0" y="0"/>
                                <a:ext cx="2386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7790" cy="175260"/>
                      <wp:effectExtent l="0" t="0" r="0" b="0"/>
                      <wp:wrapNone/>
                      <wp:docPr id="22" name="Frame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product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273,534</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40,721</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Manufacturing revenue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314,262</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 excluding amortization of acquired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19,774</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380,998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297,341</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153,162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the fair value of contingent consideration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(26,900)</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761,348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493,144</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(178,882)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(45,490)</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 benefit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(372,469)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(270,586)</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(278,813)</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(in shares)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74,730,433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71,372,940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74,232,624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71,294,458</w:t>
            </w:r>
          </w:p>
        </w:tc>
        <w:tc>
          <w:tcPr>
            <w:tcW w:w="154" w:type="dxa"/>
            <w:tcBorders/>
            <w:vAlign w:val="center"/>
          </w:tcPr>
          <w:p>
            <w:pPr>
              <w:pStyle w:val="TableContents"/>
              <w:bidi w:val="0"/>
              <w:spacing w:before="0" w:after="0"/>
              <w:ind w:left="0" w:right="0" w:hanging="0"/>
              <w:jc w:val="left"/>
              <w:rPr/>
            </w:pPr>
            <w:r>
              <w:rPr/>
              <w:t>​</w:t>
            </w:r>
          </w:p>
        </w:tc>
      </w:tr>
      <w:tr>
        <w:trPr/>
        <w:tc>
          <w:tcPr>
            <w:tcW w:w="37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share—basic and diluted (in dollars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accompanying unaudited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48" w:name="_61be0a73_2f7b_419b_b6ba_b74c695fcdf1"/>
      <w:bookmarkEnd w:id="248"/>
      <w:r>
        <w:rPr>
          <w:rFonts w:ascii="Times New Roman;Times;serif" w:hAnsi="Times New Roman;Times;serif"/>
          <w:b/>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Statements of Comprehensive Loss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49" w:name="Tc_7bhXuts0FkaU4RPCJHdjBA_7_11"/>
      <w:bookmarkStart w:id="250" w:name="Tc_CoX2F7igpkCq9g8Pz7d9Jg_7_8"/>
      <w:bookmarkStart w:id="251" w:name="Tc_SaCb0ZjM80KCFnjhrLU7oQ_7_5"/>
      <w:bookmarkStart w:id="252" w:name="Tc_DagVUrh3y0S3FNbs0MDkUw_7_2"/>
      <w:bookmarkStart w:id="253" w:name="Tc_BU90ZHce6EOb1_hcuMdSVQ_7_0"/>
      <w:bookmarkStart w:id="254" w:name="Tc_Buc508hHZUSAqySYLQytUg_6_0"/>
      <w:bookmarkStart w:id="255" w:name="Tc_CIL0KVUXmEGW4rpU256Qjw_5_0"/>
      <w:bookmarkStart w:id="256" w:name="Tc_ea8vnqpXhkWI3tcHxBA0Rw_4_0"/>
      <w:bookmarkStart w:id="257" w:name="Tc_ZfmeQCCZ3E2QIHdo1eCWpw_3_11"/>
      <w:bookmarkStart w:id="258" w:name="Tc_QLTE65JJJkCXHAjlm4dvPA_3_8"/>
      <w:bookmarkStart w:id="259" w:name="Tc_ADxkdNxFsUuk67BO08v_2A_3_5"/>
      <w:bookmarkStart w:id="260" w:name="Tc_iu_9KmbkTkOCoa3JR3HKjw_3_2"/>
      <w:bookmarkStart w:id="261" w:name="Tc_tGreouYycUiDgG2Ig3EUPw_3_0"/>
      <w:bookmarkStart w:id="262" w:name="Tc_Cccfk53lzkCJrsXKEAxXNw_2_11"/>
      <w:bookmarkStart w:id="263" w:name="Tc_O2khCxSsFk-H5xuw8_qIaA_2_8"/>
      <w:bookmarkStart w:id="264" w:name="Tc_MFj__rUMfUKfbthZxAunDQ_2_5"/>
      <w:bookmarkStart w:id="265" w:name="Tc_0QI1IPcwIE2Du43_ohWQzw_2_2"/>
      <w:bookmarkStart w:id="266" w:name="Tc_vXud-AP__UG7uPOcLwHhdw_1_8"/>
      <w:bookmarkStart w:id="267" w:name="Tc_CXgNhOqlZkO2rsbIcwaaRA_1_2"/>
      <w:bookmarkStart w:id="268" w:name="_cd3e2210_01c1_4b86_9f8c_4c3fb6d270ec"/>
      <w:bookmarkStart w:id="269" w:name="Tc_7bhXuts0FkaU4RPCJHdjBA_7_11"/>
      <w:bookmarkStart w:id="270" w:name="Tc_CoX2F7igpkCq9g8Pz7d9Jg_7_8"/>
      <w:bookmarkStart w:id="271" w:name="Tc_SaCb0ZjM80KCFnjhrLU7oQ_7_5"/>
      <w:bookmarkStart w:id="272" w:name="Tc_DagVUrh3y0S3FNbs0MDkUw_7_2"/>
      <w:bookmarkStart w:id="273" w:name="Tc_BU90ZHce6EOb1_hcuMdSVQ_7_0"/>
      <w:bookmarkStart w:id="274" w:name="Tc_Buc508hHZUSAqySYLQytUg_6_0"/>
      <w:bookmarkStart w:id="275" w:name="Tc_CIL0KVUXmEGW4rpU256Qjw_5_0"/>
      <w:bookmarkStart w:id="276" w:name="Tc_ea8vnqpXhkWI3tcHxBA0Rw_4_0"/>
      <w:bookmarkStart w:id="277" w:name="Tc_ZfmeQCCZ3E2QIHdo1eCWpw_3_11"/>
      <w:bookmarkStart w:id="278" w:name="Tc_QLTE65JJJkCXHAjlm4dvPA_3_8"/>
      <w:bookmarkStart w:id="279" w:name="Tc_ADxkdNxFsUuk67BO08v_2A_3_5"/>
      <w:bookmarkStart w:id="280" w:name="Tc_iu_9KmbkTkOCoa3JR3HKjw_3_2"/>
      <w:bookmarkStart w:id="281" w:name="Tc_tGreouYycUiDgG2Ig3EUPw_3_0"/>
      <w:bookmarkStart w:id="282" w:name="Tc_Cccfk53lzkCJrsXKEAxXNw_2_11"/>
      <w:bookmarkStart w:id="283" w:name="Tc_O2khCxSsFk-H5xuw8_qIaA_2_8"/>
      <w:bookmarkStart w:id="284" w:name="Tc_MFj__rUMfUKfbthZxAunDQ_2_5"/>
      <w:bookmarkStart w:id="285" w:name="Tc_0QI1IPcwIE2Du43_ohWQzw_2_2"/>
      <w:bookmarkStart w:id="286" w:name="Tc_vXud-AP__UG7uPOcLwHhdw_1_8"/>
      <w:bookmarkStart w:id="287" w:name="Tc_CXgNhOqlZkO2rsbIcwaaRA_1_2"/>
      <w:bookmarkStart w:id="288" w:name="_cd3e2210_01c1_4b86_9f8c_4c3fb6d270ec"/>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tbl>
      <w:tblPr>
        <w:tblW w:w="10205" w:type="dxa"/>
        <w:jc w:val="left"/>
        <w:tblInd w:w="0" w:type="dxa"/>
        <w:tblLayout w:type="fixed"/>
        <w:tblCellMar>
          <w:top w:w="0" w:type="dxa"/>
          <w:left w:w="0" w:type="dxa"/>
          <w:bottom w:w="0" w:type="dxa"/>
          <w:right w:w="0" w:type="dxa"/>
        </w:tblCellMar>
      </w:tblPr>
      <w:tblGrid>
        <w:gridCol w:w="4107"/>
        <w:gridCol w:w="386"/>
        <w:gridCol w:w="211"/>
        <w:gridCol w:w="888"/>
        <w:gridCol w:w="386"/>
        <w:gridCol w:w="211"/>
        <w:gridCol w:w="888"/>
        <w:gridCol w:w="386"/>
        <w:gridCol w:w="211"/>
        <w:gridCol w:w="888"/>
        <w:gridCol w:w="386"/>
        <w:gridCol w:w="211"/>
        <w:gridCol w:w="888"/>
        <w:gridCol w:w="158"/>
      </w:tblGrid>
      <w:tr>
        <w:trPr/>
        <w:tc>
          <w:tcPr>
            <w:tcW w:w="4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607945" cy="175260"/>
                      <wp:effectExtent l="0" t="0" r="0" b="0"/>
                      <wp:wrapNone/>
                      <wp:docPr id="23" name="Frame23"/>
                      <a:graphic xmlns:a="http://schemas.openxmlformats.org/drawingml/2006/main">
                        <a:graphicData uri="http://schemas.microsoft.com/office/word/2010/wordprocessingShape">
                          <wps:wsp>
                            <wps:cNvSpPr txBox="1"/>
                            <wps:spPr>
                              <a:xfrm>
                                <a:off x="0" y="0"/>
                                <a:ext cx="2607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45110" cy="175260"/>
                      <wp:effectExtent l="0" t="0" r="0" b="0"/>
                      <wp:wrapNone/>
                      <wp:docPr id="24" name="Frame2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63880" cy="175260"/>
                      <wp:effectExtent l="0" t="0" r="0" b="0"/>
                      <wp:wrapNone/>
                      <wp:docPr id="26" name="Frame26"/>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45110" cy="175260"/>
                      <wp:effectExtent l="0" t="0" r="0" b="0"/>
                      <wp:wrapNone/>
                      <wp:docPr id="27" name="Frame2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63880" cy="175260"/>
                      <wp:effectExtent l="0" t="0" r="0" b="0"/>
                      <wp:wrapNone/>
                      <wp:docPr id="29" name="Frame29"/>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5110" cy="175260"/>
                      <wp:effectExtent l="0" t="0" r="0" b="0"/>
                      <wp:wrapNone/>
                      <wp:docPr id="30" name="Frame3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63880" cy="175260"/>
                      <wp:effectExtent l="0" t="0" r="0" b="0"/>
                      <wp:wrapNone/>
                      <wp:docPr id="32" name="Frame32"/>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45110" cy="175260"/>
                      <wp:effectExtent l="0" t="0" r="0" b="0"/>
                      <wp:wrapNone/>
                      <wp:docPr id="33" name="Frame3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63880" cy="175260"/>
                      <wp:effectExtent l="0" t="0" r="0" b="0"/>
                      <wp:wrapNone/>
                      <wp:docPr id="35" name="Frame3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00330" cy="175260"/>
                      <wp:effectExtent l="0" t="0" r="0" b="0"/>
                      <wp:wrapNone/>
                      <wp:docPr id="36" name="Frame36"/>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07"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5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86" w:type="dxa"/>
            <w:tcBorders/>
            <w:vAlign w:val="center"/>
          </w:tcPr>
          <w:p>
            <w:pPr>
              <w:pStyle w:val="TableContents"/>
              <w:bidi w:val="0"/>
              <w:spacing w:before="0" w:after="0"/>
              <w:ind w:left="0" w:right="0" w:hanging="0"/>
              <w:jc w:val="left"/>
              <w:rPr/>
            </w:pPr>
            <w:r>
              <w:rPr/>
              <w:t>​</w:t>
            </w:r>
          </w:p>
        </w:tc>
        <w:tc>
          <w:tcPr>
            <w:tcW w:w="25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8" w:type="dxa"/>
            <w:tcBorders/>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8"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(198,883)</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(152,087)</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(337,842)</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(278,813)</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pPr>
            <w:r>
              <w:rPr/>
              <w:t>  </w:t>
            </w:r>
          </w:p>
        </w:tc>
        <w:tc>
          <w:tcPr>
            <w:tcW w:w="158"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gain (loss) on marketable securities, net of tax </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41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(loss) gain, net of tax </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29,015</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(6,678)</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37,602</w:t>
            </w:r>
          </w:p>
        </w:tc>
        <w:tc>
          <w:tcPr>
            <w:tcW w:w="158" w:type="dxa"/>
            <w:tcBorders/>
            <w:vAlign w:val="center"/>
          </w:tcPr>
          <w:p>
            <w:pPr>
              <w:pStyle w:val="TableContents"/>
              <w:bidi w:val="0"/>
              <w:spacing w:before="0" w:after="0"/>
              <w:ind w:left="0" w:right="0" w:hanging="0"/>
              <w:jc w:val="left"/>
              <w:rPr/>
            </w:pPr>
            <w:r>
              <w:rPr/>
              <w:t>​</w:t>
            </w:r>
          </w:p>
        </w:tc>
      </w:tr>
      <w:tr>
        <w:trPr/>
        <w:tc>
          <w:tcPr>
            <w:tcW w:w="41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(198,727)</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(123,228)</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(344,069)</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(244,280)</w:t>
            </w:r>
          </w:p>
        </w:tc>
        <w:tc>
          <w:tcPr>
            <w:tcW w:w="158"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See accompanying unaudited notes.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16"/>
        </w:rPr>
      </w:pPr>
      <w:bookmarkStart w:id="289" w:name="_96f5d1f1_06d1_4ba6_a0fe_a4e99fcb29c4"/>
      <w:bookmarkEnd w:id="289"/>
      <w:r>
        <w:rPr>
          <w:rFonts w:ascii="Times New Roman;Times;serif" w:hAnsi="Times New Roman;Times;serif"/>
          <w:b/>
          <w:sz w:val="16"/>
        </w:rPr>
        <w:t>PTC Therapeutics, Inc.</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Consolidated Statements of Stockholders’ (Deficit) Equity (unaudited)</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90" w:name="Tc_UVcbhvVmg0OuFlmbdIA7sw_13_16"/>
      <w:bookmarkStart w:id="291" w:name="Tc_E1nuK845eUu7Y4lhcyXuEw_13_13"/>
      <w:bookmarkStart w:id="292" w:name="Tc_uzslcSCHmE2OABAme-MzgQ_13_10"/>
      <w:bookmarkStart w:id="293" w:name="Tc_kM32RJQoUkmqCf64oGOwaQ_13_7"/>
      <w:bookmarkStart w:id="294" w:name="Tc_gwnfF1ClIU6yrOeybK40LQ_13_4"/>
      <w:bookmarkStart w:id="295" w:name="Tc_PJpw53-8uku5_sNCwgCEoA_13_0"/>
      <w:bookmarkStart w:id="296" w:name="Tc_dGyxaYIfy0SAGj9zk-FIHA_12_14"/>
      <w:bookmarkStart w:id="297" w:name="Tc_gSq_771TtkyQWUL1FQ6h9g_12_8"/>
      <w:bookmarkStart w:id="298" w:name="Tc_FYka7n3X-063z7CgNaBm-Q_12_5"/>
      <w:bookmarkStart w:id="299" w:name="Tc_TukCN5acaEuQAucI7c_-mw_12_2"/>
      <w:bookmarkStart w:id="300" w:name="Tc_QpOm_vwlVU6YzV_xia3YtQ_12_0"/>
      <w:bookmarkStart w:id="301" w:name="Tc_KlEIw7WZM0uhWJPqCQ_m8g_11_11"/>
      <w:bookmarkStart w:id="302" w:name="Tc_mGNmMriZHka8C5GnFCAdAA_11_8"/>
      <w:bookmarkStart w:id="303" w:name="Tc_jk0Wa2XCL0Opb-xESZv-jg_11_5"/>
      <w:bookmarkStart w:id="304" w:name="Tc_-Q7qBcmZTkyVLYg833opvg_11_2"/>
      <w:bookmarkStart w:id="305" w:name="Tc_yd2DGCqwBkm8_C-UQDGwFw_11_0"/>
      <w:bookmarkStart w:id="306" w:name="Tc_sKGdvw9Yh0eUQTRdhMmzCw_10_14"/>
      <w:bookmarkStart w:id="307" w:name="Tc_IosCefxnEUmMprUzgpk7eQ_10_11"/>
      <w:bookmarkStart w:id="308" w:name="Tc_6Uyf-3x_W0-Lbx5Onh0oYw_10_5"/>
      <w:bookmarkStart w:id="309" w:name="Tc_ByktdMPGDEmXCG9yAsmPpg_10_2"/>
      <w:bookmarkStart w:id="310" w:name="Tc_J8ALrLxo_kupTXsqdKZFzQ_10_0"/>
      <w:bookmarkStart w:id="311" w:name="Tc_8pndrvjHREKAqCM2ZJsf0w_9_14"/>
      <w:bookmarkStart w:id="312" w:name="Tc_ZeIokVIaXU-feYfafm_muw_9_11"/>
      <w:bookmarkStart w:id="313" w:name="Tc_lCkEbQwsr0qR7a8Jf5E1YQ_9_0"/>
      <w:bookmarkStart w:id="314" w:name="Tc_Z52MHmqRKUm5-N6XB2LksQ_8_14"/>
      <w:bookmarkStart w:id="315" w:name="Tc_Mf-ouhV6ZkWzjOkw6OLfeA_8_11"/>
      <w:bookmarkStart w:id="316" w:name="Tc_RHqa2DPpNEiExaYY-aTxyg_8_5"/>
      <w:bookmarkStart w:id="317" w:name="Tc_qzTMZqPgJkiq1-cuc1nq7w_8_0"/>
      <w:bookmarkStart w:id="318" w:name="Tc_TYzIL4JADE-vLNaW3wNp7w_7_17"/>
      <w:bookmarkStart w:id="319" w:name="Tc_5D4XaXD1i0qGs714mKta-g_7_14"/>
      <w:bookmarkStart w:id="320" w:name="Tc_qFhrv_50eECDpTJUiHcw8g_7_11"/>
      <w:bookmarkStart w:id="321" w:name="Tc__UVbiJrzUkGryydwTLCu9Q_7_8"/>
      <w:bookmarkStart w:id="322" w:name="Tc_jMa7suvuQUeCAfK5yzGjew_7_5"/>
      <w:bookmarkStart w:id="323" w:name="Tc_E9Br1N1W706MMhBIADIqfw_7_0"/>
      <w:bookmarkStart w:id="324" w:name="Tc_3oulxBqwPEq5cEDhd-HLtQ_6_14"/>
      <w:bookmarkStart w:id="325" w:name="Tc_CRnRfbnNV06ooX6vqgq_Sw_6_11"/>
      <w:bookmarkStart w:id="326" w:name="Tc_QEjf0YlBlUaOibSjVTm6gw_6_0"/>
      <w:bookmarkStart w:id="327" w:name="Tc_UqnTqd5-40SGPPV2hUOV4A_5_16"/>
      <w:bookmarkStart w:id="328" w:name="Tc_omA_o_neF0SnJv4xxhBDMw_5_13"/>
      <w:bookmarkStart w:id="329" w:name="Tc_4EgzjjG-E0WhwELSDgCWpg_5_10"/>
      <w:bookmarkStart w:id="330" w:name="Tc_wmpmkA4c5kSCcON74WMuRA_5_7"/>
      <w:bookmarkStart w:id="331" w:name="Tc_PvttyMh6zku0tLwo1L9HwQ_5_4"/>
      <w:bookmarkStart w:id="332" w:name="Tc_Galq8eG_jk24qvK3yinVWA_5_0"/>
      <w:bookmarkStart w:id="333" w:name="Tc__MlAm1qcq0WxKDAE-GcH3Q_4_16"/>
      <w:bookmarkStart w:id="334" w:name="Tc_Q9Xjlz0wukO_rNj4rpJgqw_4_13"/>
      <w:bookmarkStart w:id="335" w:name="Tc_Fmzs7XETb0-A9lrGqcR3Hw_4_10"/>
      <w:bookmarkStart w:id="336" w:name="Tc_nRScyyz42U6Nwf3pHIvRyQ_4_7"/>
      <w:bookmarkStart w:id="337" w:name="Tc__YWpxXfC_EqMHASZxI4hTA_4_4"/>
      <w:bookmarkStart w:id="338" w:name="Tc_TPIa21ocF0KSKUQW32pGbA_4_2"/>
      <w:bookmarkStart w:id="339" w:name="Tc_TWvrB7SAUUKR3IIyChO1Sg_3_16"/>
      <w:bookmarkStart w:id="340" w:name="Tc_rbQqxUBjBEGvNdze-P9HEQ_3_13"/>
      <w:bookmarkStart w:id="341" w:name="Tc_u3diwvUu80eyeq7yWgoX7w_3_10"/>
      <w:bookmarkStart w:id="342" w:name="Tc_Hj3WjYh9aE6IElk9G9yHuw_3_7"/>
      <w:bookmarkStart w:id="343" w:name="Tc_KnqhQG3UskCFkxKlwGB3tQ_3_2"/>
      <w:bookmarkStart w:id="344" w:name="Tc_w7a06os9FkC4ns79lUqfSA_3_0"/>
      <w:bookmarkStart w:id="345" w:name="Tc_NC0_9eZeJ0WPmt55dlW9xA_2_16"/>
      <w:bookmarkStart w:id="346" w:name="Tc_Lxkyycfg0EONP2AyKZYKEg_2_10"/>
      <w:bookmarkStart w:id="347" w:name="Tc_HvTKJud53UWdLV9YTGCGxg_2_7"/>
      <w:bookmarkStart w:id="348" w:name="Tc_RI8m3h38S0m_-n4WvgKavg_1_10"/>
      <w:bookmarkStart w:id="349" w:name="_864992f9_0dda_4ed4_9814_aa21c16510fc"/>
      <w:bookmarkStart w:id="350" w:name="Tc_UVcbhvVmg0OuFlmbdIA7sw_13_16"/>
      <w:bookmarkStart w:id="351" w:name="Tc_E1nuK845eUu7Y4lhcyXuEw_13_13"/>
      <w:bookmarkStart w:id="352" w:name="Tc_uzslcSCHmE2OABAme-MzgQ_13_10"/>
      <w:bookmarkStart w:id="353" w:name="Tc_kM32RJQoUkmqCf64oGOwaQ_13_7"/>
      <w:bookmarkStart w:id="354" w:name="Tc_gwnfF1ClIU6yrOeybK40LQ_13_4"/>
      <w:bookmarkStart w:id="355" w:name="Tc_PJpw53-8uku5_sNCwgCEoA_13_0"/>
      <w:bookmarkStart w:id="356" w:name="Tc_dGyxaYIfy0SAGj9zk-FIHA_12_14"/>
      <w:bookmarkStart w:id="357" w:name="Tc_gSq_771TtkyQWUL1FQ6h9g_12_8"/>
      <w:bookmarkStart w:id="358" w:name="Tc_FYka7n3X-063z7CgNaBm-Q_12_5"/>
      <w:bookmarkStart w:id="359" w:name="Tc_TukCN5acaEuQAucI7c_-mw_12_2"/>
      <w:bookmarkStart w:id="360" w:name="Tc_QpOm_vwlVU6YzV_xia3YtQ_12_0"/>
      <w:bookmarkStart w:id="361" w:name="Tc_KlEIw7WZM0uhWJPqCQ_m8g_11_11"/>
      <w:bookmarkStart w:id="362" w:name="Tc_mGNmMriZHka8C5GnFCAdAA_11_8"/>
      <w:bookmarkStart w:id="363" w:name="Tc_jk0Wa2XCL0Opb-xESZv-jg_11_5"/>
      <w:bookmarkStart w:id="364" w:name="Tc_-Q7qBcmZTkyVLYg833opvg_11_2"/>
      <w:bookmarkStart w:id="365" w:name="Tc_yd2DGCqwBkm8_C-UQDGwFw_11_0"/>
      <w:bookmarkStart w:id="366" w:name="Tc_sKGdvw9Yh0eUQTRdhMmzCw_10_14"/>
      <w:bookmarkStart w:id="367" w:name="Tc_IosCefxnEUmMprUzgpk7eQ_10_11"/>
      <w:bookmarkStart w:id="368" w:name="Tc_6Uyf-3x_W0-Lbx5Onh0oYw_10_5"/>
      <w:bookmarkStart w:id="369" w:name="Tc_ByktdMPGDEmXCG9yAsmPpg_10_2"/>
      <w:bookmarkStart w:id="370" w:name="Tc_J8ALrLxo_kupTXsqdKZFzQ_10_0"/>
      <w:bookmarkStart w:id="371" w:name="Tc_8pndrvjHREKAqCM2ZJsf0w_9_14"/>
      <w:bookmarkStart w:id="372" w:name="Tc_ZeIokVIaXU-feYfafm_muw_9_11"/>
      <w:bookmarkStart w:id="373" w:name="Tc_lCkEbQwsr0qR7a8Jf5E1YQ_9_0"/>
      <w:bookmarkStart w:id="374" w:name="Tc_Z52MHmqRKUm5-N6XB2LksQ_8_14"/>
      <w:bookmarkStart w:id="375" w:name="Tc_Mf-ouhV6ZkWzjOkw6OLfeA_8_11"/>
      <w:bookmarkStart w:id="376" w:name="Tc_RHqa2DPpNEiExaYY-aTxyg_8_5"/>
      <w:bookmarkStart w:id="377" w:name="Tc_qzTMZqPgJkiq1-cuc1nq7w_8_0"/>
      <w:bookmarkStart w:id="378" w:name="Tc_TYzIL4JADE-vLNaW3wNp7w_7_17"/>
      <w:bookmarkStart w:id="379" w:name="Tc_5D4XaXD1i0qGs714mKta-g_7_14"/>
      <w:bookmarkStart w:id="380" w:name="Tc_qFhrv_50eECDpTJUiHcw8g_7_11"/>
      <w:bookmarkStart w:id="381" w:name="Tc__UVbiJrzUkGryydwTLCu9Q_7_8"/>
      <w:bookmarkStart w:id="382" w:name="Tc_jMa7suvuQUeCAfK5yzGjew_7_5"/>
      <w:bookmarkStart w:id="383" w:name="Tc_E9Br1N1W706MMhBIADIqfw_7_0"/>
      <w:bookmarkStart w:id="384" w:name="Tc_3oulxBqwPEq5cEDhd-HLtQ_6_14"/>
      <w:bookmarkStart w:id="385" w:name="Tc_CRnRfbnNV06ooX6vqgq_Sw_6_11"/>
      <w:bookmarkStart w:id="386" w:name="Tc_QEjf0YlBlUaOibSjVTm6gw_6_0"/>
      <w:bookmarkStart w:id="387" w:name="Tc_UqnTqd5-40SGPPV2hUOV4A_5_16"/>
      <w:bookmarkStart w:id="388" w:name="Tc_omA_o_neF0SnJv4xxhBDMw_5_13"/>
      <w:bookmarkStart w:id="389" w:name="Tc_4EgzjjG-E0WhwELSDgCWpg_5_10"/>
      <w:bookmarkStart w:id="390" w:name="Tc_wmpmkA4c5kSCcON74WMuRA_5_7"/>
      <w:bookmarkStart w:id="391" w:name="Tc_PvttyMh6zku0tLwo1L9HwQ_5_4"/>
      <w:bookmarkStart w:id="392" w:name="Tc_Galq8eG_jk24qvK3yinVWA_5_0"/>
      <w:bookmarkStart w:id="393" w:name="Tc__MlAm1qcq0WxKDAE-GcH3Q_4_16"/>
      <w:bookmarkStart w:id="394" w:name="Tc_Q9Xjlz0wukO_rNj4rpJgqw_4_13"/>
      <w:bookmarkStart w:id="395" w:name="Tc_Fmzs7XETb0-A9lrGqcR3Hw_4_10"/>
      <w:bookmarkStart w:id="396" w:name="Tc_nRScyyz42U6Nwf3pHIvRyQ_4_7"/>
      <w:bookmarkStart w:id="397" w:name="Tc__YWpxXfC_EqMHASZxI4hTA_4_4"/>
      <w:bookmarkStart w:id="398" w:name="Tc_TPIa21ocF0KSKUQW32pGbA_4_2"/>
      <w:bookmarkStart w:id="399" w:name="Tc_TWvrB7SAUUKR3IIyChO1Sg_3_16"/>
      <w:bookmarkStart w:id="400" w:name="Tc_rbQqxUBjBEGvNdze-P9HEQ_3_13"/>
      <w:bookmarkStart w:id="401" w:name="Tc_u3diwvUu80eyeq7yWgoX7w_3_10"/>
      <w:bookmarkStart w:id="402" w:name="Tc_Hj3WjYh9aE6IElk9G9yHuw_3_7"/>
      <w:bookmarkStart w:id="403" w:name="Tc_KnqhQG3UskCFkxKlwGB3tQ_3_2"/>
      <w:bookmarkStart w:id="404" w:name="Tc_w7a06os9FkC4ns79lUqfSA_3_0"/>
      <w:bookmarkStart w:id="405" w:name="Tc_NC0_9eZeJ0WPmt55dlW9xA_2_16"/>
      <w:bookmarkStart w:id="406" w:name="Tc_Lxkyycfg0EONP2AyKZYKEg_2_10"/>
      <w:bookmarkStart w:id="407" w:name="Tc_HvTKJud53UWdLV9YTGCGxg_2_7"/>
      <w:bookmarkStart w:id="408" w:name="Tc_RI8m3h38S0m_-n4WvgKavg_1_10"/>
      <w:bookmarkStart w:id="409" w:name="_864992f9_0dda_4ed4_9814_aa21c16510fc"/>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tbl>
      <w:tblPr>
        <w:tblW w:w="10205" w:type="dxa"/>
        <w:jc w:val="left"/>
        <w:tblInd w:w="0" w:type="dxa"/>
        <w:tblLayout w:type="fixed"/>
        <w:tblCellMar>
          <w:top w:w="0" w:type="dxa"/>
          <w:left w:w="0" w:type="dxa"/>
          <w:bottom w:w="0" w:type="dxa"/>
          <w:right w:w="0" w:type="dxa"/>
        </w:tblCellMar>
      </w:tblPr>
      <w:tblGrid>
        <w:gridCol w:w="2917"/>
        <w:gridCol w:w="326"/>
        <w:gridCol w:w="796"/>
        <w:gridCol w:w="326"/>
        <w:gridCol w:w="216"/>
        <w:gridCol w:w="415"/>
        <w:gridCol w:w="326"/>
        <w:gridCol w:w="181"/>
        <w:gridCol w:w="721"/>
        <w:gridCol w:w="326"/>
        <w:gridCol w:w="279"/>
        <w:gridCol w:w="772"/>
        <w:gridCol w:w="326"/>
        <w:gridCol w:w="181"/>
        <w:gridCol w:w="787"/>
        <w:gridCol w:w="326"/>
        <w:gridCol w:w="203"/>
        <w:gridCol w:w="781"/>
      </w:tblGrid>
      <w:tr>
        <w:trPr/>
        <w:tc>
          <w:tcPr>
            <w:tcW w:w="2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852295" cy="175260"/>
                      <wp:effectExtent l="0" t="0" r="0" b="0"/>
                      <wp:wrapNone/>
                      <wp:docPr id="37" name="Frame37"/>
                      <a:graphic xmlns:a="http://schemas.openxmlformats.org/drawingml/2006/main">
                        <a:graphicData uri="http://schemas.microsoft.com/office/word/2010/wordprocessingShape">
                          <wps:wsp>
                            <wps:cNvSpPr txBox="1"/>
                            <wps:spPr>
                              <a:xfrm>
                                <a:off x="0" y="0"/>
                                <a:ext cx="185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5460" cy="175260"/>
                      <wp:effectExtent l="0" t="0" r="0" b="0"/>
                      <wp:wrapNone/>
                      <wp:docPr id="39" name="Frame3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7160" cy="175260"/>
                      <wp:effectExtent l="0" t="0" r="0" b="0"/>
                      <wp:wrapNone/>
                      <wp:docPr id="41" name="Frame4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63525" cy="175260"/>
                      <wp:effectExtent l="0" t="0" r="0" b="0"/>
                      <wp:wrapNone/>
                      <wp:docPr id="42" name="Frame4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4935" cy="175260"/>
                      <wp:effectExtent l="0" t="0" r="0" b="0"/>
                      <wp:wrapNone/>
                      <wp:docPr id="44" name="Frame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57835" cy="175260"/>
                      <wp:effectExtent l="0" t="0" r="0" b="0"/>
                      <wp:wrapNone/>
                      <wp:docPr id="45" name="Frame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77165" cy="175260"/>
                      <wp:effectExtent l="0" t="0" r="0" b="0"/>
                      <wp:wrapNone/>
                      <wp:docPr id="47" name="Frame4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0220" cy="175260"/>
                      <wp:effectExtent l="0" t="0" r="0" b="0"/>
                      <wp:wrapNone/>
                      <wp:docPr id="48" name="Frame48"/>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14935" cy="175260"/>
                      <wp:effectExtent l="0" t="0" r="0" b="0"/>
                      <wp:wrapNone/>
                      <wp:docPr id="50" name="Frame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99745" cy="175260"/>
                      <wp:effectExtent l="0" t="0" r="0" b="0"/>
                      <wp:wrapNone/>
                      <wp:docPr id="51" name="Frame51"/>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8905" cy="175260"/>
                      <wp:effectExtent l="0" t="0" r="0" b="0"/>
                      <wp:wrapNone/>
                      <wp:docPr id="53" name="Frame53"/>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5935" cy="175260"/>
                      <wp:effectExtent l="0" t="0" r="0" b="0"/>
                      <wp:wrapNone/>
                      <wp:docPr id="54" name="Frame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03"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29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84"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917"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Three months ended June 30, 2023</w:t>
            </w:r>
          </w:p>
        </w:tc>
        <w:tc>
          <w:tcPr>
            <w:tcW w:w="326" w:type="dxa"/>
            <w:tcBorders/>
            <w:vAlign w:val="center"/>
          </w:tcPr>
          <w:p>
            <w:pPr>
              <w:pStyle w:val="TableContents"/>
              <w:bidi w:val="0"/>
              <w:spacing w:before="0" w:after="1"/>
              <w:ind w:left="0" w:right="0" w:hanging="0"/>
              <w:jc w:val="left"/>
              <w:rPr/>
            </w:pPr>
            <w:r>
              <w:rPr/>
              <w:t>​</w:t>
            </w:r>
          </w:p>
        </w:tc>
        <w:tc>
          <w:tcPr>
            <w:tcW w:w="17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26" w:type="dxa"/>
            <w:tcBorders/>
            <w:vAlign w:val="center"/>
          </w:tcPr>
          <w:p>
            <w:pPr>
              <w:pStyle w:val="TableContents"/>
              <w:bidi w:val="0"/>
              <w:spacing w:before="0" w:after="1"/>
              <w:ind w:left="0" w:right="0" w:hanging="0"/>
              <w:jc w:val="left"/>
              <w:rPr/>
            </w:pPr>
            <w:r>
              <w:rPr/>
              <w:t>​</w:t>
            </w:r>
          </w:p>
        </w:tc>
        <w:tc>
          <w:tcPr>
            <w:tcW w:w="96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1"/>
              <w:ind w:left="0" w:right="0" w:hanging="0"/>
              <w:jc w:val="left"/>
              <w:rPr/>
            </w:pPr>
            <w:r>
              <w:rPr/>
              <w:t>​</w:t>
            </w:r>
          </w:p>
        </w:tc>
        <w:tc>
          <w:tcPr>
            <w:tcW w:w="984"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9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(loss) income</w:t>
            </w:r>
          </w:p>
        </w:tc>
        <w:tc>
          <w:tcPr>
            <w:tcW w:w="326" w:type="dxa"/>
            <w:tcBorders/>
            <w:vAlign w:val="center"/>
          </w:tcPr>
          <w:p>
            <w:pPr>
              <w:pStyle w:val="TableContents"/>
              <w:bidi w:val="0"/>
              <w:spacing w:before="0" w:after="1"/>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1"/>
              <w:ind w:left="0" w:right="0" w:hanging="0"/>
              <w:jc w:val="left"/>
              <w:rPr/>
            </w:pPr>
            <w:r>
              <w:rPr/>
              <w:t>    </w:t>
            </w:r>
          </w:p>
        </w:tc>
        <w:tc>
          <w:tcPr>
            <w:tcW w:w="9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91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74,012,034</w:t>
            </w:r>
          </w:p>
        </w:tc>
        <w:tc>
          <w:tcPr>
            <w:tcW w:w="326"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2,339,886</w:t>
            </w:r>
          </w:p>
        </w:tc>
        <w:tc>
          <w:tcPr>
            <w:tcW w:w="326" w:type="dxa"/>
            <w:tcBorders/>
            <w:shd w:fill="CCEEFF" w:val="clear"/>
            <w:vAlign w:val="center"/>
          </w:tcPr>
          <w:p>
            <w:pPr>
              <w:pStyle w:val="TableContents"/>
              <w:bidi w:val="0"/>
              <w:spacing w:before="0" w:after="1"/>
              <w:ind w:left="0" w:right="0" w:hanging="0"/>
              <w:jc w:val="left"/>
              <w:rPr/>
            </w:pPr>
            <w:r>
              <w:rPr/>
              <w:t>    </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(1,587)</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(2,795,933)</w:t>
            </w:r>
          </w:p>
        </w:tc>
        <w:tc>
          <w:tcPr>
            <w:tcW w:w="326" w:type="dxa"/>
            <w:tcBorders/>
            <w:shd w:fill="CCEEFF" w:val="clear"/>
            <w:vAlign w:val="center"/>
          </w:tcPr>
          <w:p>
            <w:pPr>
              <w:pStyle w:val="TableContents"/>
              <w:bidi w:val="0"/>
              <w:spacing w:before="0" w:after="1"/>
              <w:ind w:left="0" w:right="0" w:hanging="0"/>
              <w:jc w:val="left"/>
              <w:rPr/>
            </w:pPr>
            <w:r>
              <w:rPr/>
              <w:t>    </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(457,561)</w:t>
            </w:r>
          </w:p>
        </w:tc>
      </w:tr>
      <w:tr>
        <w:trPr/>
        <w:tc>
          <w:tcPr>
            <w:tcW w:w="291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Exercise of options</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481,051</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14,273</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14,274</w:t>
            </w:r>
          </w:p>
        </w:tc>
      </w:tr>
      <w:tr>
        <w:trPr/>
        <w:tc>
          <w:tcPr>
            <w:tcW w:w="291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Restricted stock vesting and issuance, net</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50,382</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91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an employee stock purchase plan</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117,304</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3,805</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3,805</w:t>
            </w:r>
          </w:p>
        </w:tc>
      </w:tr>
      <w:tr>
        <w:trPr/>
        <w:tc>
          <w:tcPr>
            <w:tcW w:w="291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a milestone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657,462</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29,569</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29,570</w:t>
            </w:r>
          </w:p>
        </w:tc>
      </w:tr>
      <w:tr>
        <w:trPr/>
        <w:tc>
          <w:tcPr>
            <w:tcW w:w="291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Share-based compensation expense</w:t>
            </w:r>
          </w:p>
        </w:tc>
        <w:tc>
          <w:tcPr>
            <w:tcW w:w="32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29,371</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29,371</w:t>
            </w:r>
          </w:p>
        </w:tc>
      </w:tr>
      <w:tr>
        <w:trPr/>
        <w:tc>
          <w:tcPr>
            <w:tcW w:w="291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(198,883)</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(198,883)</w:t>
            </w:r>
          </w:p>
        </w:tc>
      </w:tr>
      <w:tr>
        <w:trPr/>
        <w:tc>
          <w:tcPr>
            <w:tcW w:w="291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Comprehensive income</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156</w:t>
            </w:r>
          </w:p>
        </w:tc>
      </w:tr>
      <w:tr>
        <w:trPr/>
        <w:tc>
          <w:tcPr>
            <w:tcW w:w="291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75,318,233</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2,416,904</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(1,431)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(2,994,816)</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(579,268)</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10" w:name="Tc_cq2phj7qrU-2hUe4nr_t0A_12_16"/>
      <w:bookmarkStart w:id="411" w:name="Tc_R2hLqTil10GcqbCyf5zpgA_12_13"/>
      <w:bookmarkStart w:id="412" w:name="Tc_G0bcu5PhvkmRZ-jZAEkkmg_12_10"/>
      <w:bookmarkStart w:id="413" w:name="Tc_UD4Wf70VuE6blOkqjiK6VA_12_7"/>
      <w:bookmarkStart w:id="414" w:name="Tc_rxOAwHeHk0SR8cTwOLLLmA_12_4"/>
      <w:bookmarkStart w:id="415" w:name="Tc_G1ZGIQOLEEKJ-40nuSiE_Q_12_0"/>
      <w:bookmarkStart w:id="416" w:name="Tc_Zxp4YBkCXE6tVZIXaJMIAQ_11_14"/>
      <w:bookmarkStart w:id="417" w:name="Tc_6Ul25VRvG0axVHj32Avx8A_11_8"/>
      <w:bookmarkStart w:id="418" w:name="Tc_6wBLueHG2kWPBIRdr2l-_Q_11_5"/>
      <w:bookmarkStart w:id="419" w:name="Tc_6Pvdk1pVY06YyPwdItMeZA_11_2"/>
      <w:bookmarkStart w:id="420" w:name="Tc_hvuw3HHuXUmUNK9W1eXB1Q_11_0"/>
      <w:bookmarkStart w:id="421" w:name="Tc_UTC_EtqV9EqjJkhewQtxKg_10_11"/>
      <w:bookmarkStart w:id="422" w:name="Tc_Eon9A6xz5kSlDvCzult50w_10_8"/>
      <w:bookmarkStart w:id="423" w:name="Tc_gogYZ_8ozUiP7x2LTMeHDA_10_5"/>
      <w:bookmarkStart w:id="424" w:name="Tc_zLFVp3zYf0C1BX3mquuiyw_10_2"/>
      <w:bookmarkStart w:id="425" w:name="Tc_aZaQgeRVr0GDe_b0ppzlGQ_10_0"/>
      <w:bookmarkStart w:id="426" w:name="Tc_Ze2HcOv8IUeD_AerapxrsQ_9_14"/>
      <w:bookmarkStart w:id="427" w:name="Tc_bJIg1PqMI0-ibrHQiIzCGw_9_11"/>
      <w:bookmarkStart w:id="428" w:name="Tc_34IHGDFDj0CoTvmbQWyB7w_9_5"/>
      <w:bookmarkStart w:id="429" w:name="Tc_H618exCackGcZXpHxGNzrQ_9_2"/>
      <w:bookmarkStart w:id="430" w:name="Tc_vBl-bFlk00uXGtIFlLEubA_9_0"/>
      <w:bookmarkStart w:id="431" w:name="Tc_zdD8hGhPO0qRSHU9LTU9bQ_8_14"/>
      <w:bookmarkStart w:id="432" w:name="Tc_4-GjAw6vdUaaz8yUkvBtgg_8_11"/>
      <w:bookmarkStart w:id="433" w:name="Tc_f3ZWCa66p06w6zHiAYU4Wg_8_5"/>
      <w:bookmarkStart w:id="434" w:name="Tc_3oSYDz1jqESq8na8Ng3JLg_8_0"/>
      <w:bookmarkStart w:id="435" w:name="Tc_O2lWgNgxlUGBf9ppZkC-sA_7_17"/>
      <w:bookmarkStart w:id="436" w:name="Tc_5YnghbwgGU2EkcNDdFd9DQ_7_14"/>
      <w:bookmarkStart w:id="437" w:name="Tc_QNOS7nwDik-TAHdziiW1Ng_7_11"/>
      <w:bookmarkStart w:id="438" w:name="Tc_3hHmtqasCkmgbFH3d9Xq4g_7_8"/>
      <w:bookmarkStart w:id="439" w:name="Tc_ZTNuoDwn-0yFk22EinLVSA_7_5"/>
      <w:bookmarkStart w:id="440" w:name="Tc_KdCQi0rxSUGEMTXpvxIX2Q_7_0"/>
      <w:bookmarkStart w:id="441" w:name="Tc_8198ZHhHvkOV-w-jb1Lu-w_6_14"/>
      <w:bookmarkStart w:id="442" w:name="Tc_BuDuASKISkilhnxwKk0J-g_6_11"/>
      <w:bookmarkStart w:id="443" w:name="Tc_ZX53FvalZU-FOfXEBEH2Dg_6_5"/>
      <w:bookmarkStart w:id="444" w:name="Tc_WJ5sR2KDVk-MBPAlhAXHJw_6_0"/>
      <w:bookmarkStart w:id="445" w:name="Tc_S0A9lZ37ikiYkaOwHgYTdQ_5_16"/>
      <w:bookmarkStart w:id="446" w:name="Tc_HAUB3wE65Ua8Wb_fiiYtVA_5_13"/>
      <w:bookmarkStart w:id="447" w:name="Tc_BN2cEY4f1keYUbotQO13Ug_5_10"/>
      <w:bookmarkStart w:id="448" w:name="Tc_ghFYTLLAh0qoRvSyFp3vAw_5_7"/>
      <w:bookmarkStart w:id="449" w:name="Tc_Am6CphDyCEmP1FkzjNjqCg_5_4"/>
      <w:bookmarkStart w:id="450" w:name="Tc_yHWjeocDl0KoyL4SBF2uCA_5_0"/>
      <w:bookmarkStart w:id="451" w:name="Tc_R6SI4dLRUkqPJjp4br0vaA_4_16"/>
      <w:bookmarkStart w:id="452" w:name="Tc_NKHhuRfAhkOI17xycycGcw_4_13"/>
      <w:bookmarkStart w:id="453" w:name="Tc_lC_8lTQoC0yHgeD_g2QdZA_4_10"/>
      <w:bookmarkStart w:id="454" w:name="Tc_zYKnFdFekEKfFFMGEdj2rA_4_7"/>
      <w:bookmarkStart w:id="455" w:name="Tc_Cg-S84kCvEONtuHEJ--NkQ_4_4"/>
      <w:bookmarkStart w:id="456" w:name="Tc_3GpBCsjoa0GcnTlxJFph9Q_4_2"/>
      <w:bookmarkStart w:id="457" w:name="Tc_4iEagWyKTUyhK-ubv6MKSA_3_16"/>
      <w:bookmarkStart w:id="458" w:name="Tc_L7hkMCBPqkq6K9U0QKbHVw_3_13"/>
      <w:bookmarkStart w:id="459" w:name="Tc_F6ZOxHkzdEO5aM4VRccoTQ_3_10"/>
      <w:bookmarkStart w:id="460" w:name="Tc_klkhkav_Z0uF3afH4-V8vg_3_7"/>
      <w:bookmarkStart w:id="461" w:name="Tc_lnNxSmRMKk6ky9B0qAnBgQ_3_2"/>
      <w:bookmarkStart w:id="462" w:name="Tc_HSiU3J4340a75lyLgq--Qg_3_0"/>
      <w:bookmarkStart w:id="463" w:name="Tc_ZzrOxQF7hUaqawCETnwCAw_2_16"/>
      <w:bookmarkStart w:id="464" w:name="Tc_4closT_XYUCbk2BQkvqb4A_2_10"/>
      <w:bookmarkStart w:id="465" w:name="Tc_FdZsjceJ6EC86mUJN5Hc7A_2_7"/>
      <w:bookmarkStart w:id="466" w:name="Tc_QviSbihvLku7NFvZMYvdsg_1_10"/>
      <w:bookmarkStart w:id="467" w:name="_2d85d136_4fb4_43a8_952e_87bfd5a5df55"/>
      <w:bookmarkStart w:id="468" w:name="Tc_cq2phj7qrU-2hUe4nr_t0A_12_16"/>
      <w:bookmarkStart w:id="469" w:name="Tc_R2hLqTil10GcqbCyf5zpgA_12_13"/>
      <w:bookmarkStart w:id="470" w:name="Tc_G0bcu5PhvkmRZ-jZAEkkmg_12_10"/>
      <w:bookmarkStart w:id="471" w:name="Tc_UD4Wf70VuE6blOkqjiK6VA_12_7"/>
      <w:bookmarkStart w:id="472" w:name="Tc_rxOAwHeHk0SR8cTwOLLLmA_12_4"/>
      <w:bookmarkStart w:id="473" w:name="Tc_G1ZGIQOLEEKJ-40nuSiE_Q_12_0"/>
      <w:bookmarkStart w:id="474" w:name="Tc_Zxp4YBkCXE6tVZIXaJMIAQ_11_14"/>
      <w:bookmarkStart w:id="475" w:name="Tc_6Ul25VRvG0axVHj32Avx8A_11_8"/>
      <w:bookmarkStart w:id="476" w:name="Tc_6wBLueHG2kWPBIRdr2l-_Q_11_5"/>
      <w:bookmarkStart w:id="477" w:name="Tc_6Pvdk1pVY06YyPwdItMeZA_11_2"/>
      <w:bookmarkStart w:id="478" w:name="Tc_hvuw3HHuXUmUNK9W1eXB1Q_11_0"/>
      <w:bookmarkStart w:id="479" w:name="Tc_UTC_EtqV9EqjJkhewQtxKg_10_11"/>
      <w:bookmarkStart w:id="480" w:name="Tc_Eon9A6xz5kSlDvCzult50w_10_8"/>
      <w:bookmarkStart w:id="481" w:name="Tc_gogYZ_8ozUiP7x2LTMeHDA_10_5"/>
      <w:bookmarkStart w:id="482" w:name="Tc_zLFVp3zYf0C1BX3mquuiyw_10_2"/>
      <w:bookmarkStart w:id="483" w:name="Tc_aZaQgeRVr0GDe_b0ppzlGQ_10_0"/>
      <w:bookmarkStart w:id="484" w:name="Tc_Ze2HcOv8IUeD_AerapxrsQ_9_14"/>
      <w:bookmarkStart w:id="485" w:name="Tc_bJIg1PqMI0-ibrHQiIzCGw_9_11"/>
      <w:bookmarkStart w:id="486" w:name="Tc_34IHGDFDj0CoTvmbQWyB7w_9_5"/>
      <w:bookmarkStart w:id="487" w:name="Tc_H618exCackGcZXpHxGNzrQ_9_2"/>
      <w:bookmarkStart w:id="488" w:name="Tc_vBl-bFlk00uXGtIFlLEubA_9_0"/>
      <w:bookmarkStart w:id="489" w:name="Tc_zdD8hGhPO0qRSHU9LTU9bQ_8_14"/>
      <w:bookmarkStart w:id="490" w:name="Tc_4-GjAw6vdUaaz8yUkvBtgg_8_11"/>
      <w:bookmarkStart w:id="491" w:name="Tc_f3ZWCa66p06w6zHiAYU4Wg_8_5"/>
      <w:bookmarkStart w:id="492" w:name="Tc_3oSYDz1jqESq8na8Ng3JLg_8_0"/>
      <w:bookmarkStart w:id="493" w:name="Tc_O2lWgNgxlUGBf9ppZkC-sA_7_17"/>
      <w:bookmarkStart w:id="494" w:name="Tc_5YnghbwgGU2EkcNDdFd9DQ_7_14"/>
      <w:bookmarkStart w:id="495" w:name="Tc_QNOS7nwDik-TAHdziiW1Ng_7_11"/>
      <w:bookmarkStart w:id="496" w:name="Tc_3hHmtqasCkmgbFH3d9Xq4g_7_8"/>
      <w:bookmarkStart w:id="497" w:name="Tc_ZTNuoDwn-0yFk22EinLVSA_7_5"/>
      <w:bookmarkStart w:id="498" w:name="Tc_KdCQi0rxSUGEMTXpvxIX2Q_7_0"/>
      <w:bookmarkStart w:id="499" w:name="Tc_8198ZHhHvkOV-w-jb1Lu-w_6_14"/>
      <w:bookmarkStart w:id="500" w:name="Tc_BuDuASKISkilhnxwKk0J-g_6_11"/>
      <w:bookmarkStart w:id="501" w:name="Tc_ZX53FvalZU-FOfXEBEH2Dg_6_5"/>
      <w:bookmarkStart w:id="502" w:name="Tc_WJ5sR2KDVk-MBPAlhAXHJw_6_0"/>
      <w:bookmarkStart w:id="503" w:name="Tc_S0A9lZ37ikiYkaOwHgYTdQ_5_16"/>
      <w:bookmarkStart w:id="504" w:name="Tc_HAUB3wE65Ua8Wb_fiiYtVA_5_13"/>
      <w:bookmarkStart w:id="505" w:name="Tc_BN2cEY4f1keYUbotQO13Ug_5_10"/>
      <w:bookmarkStart w:id="506" w:name="Tc_ghFYTLLAh0qoRvSyFp3vAw_5_7"/>
      <w:bookmarkStart w:id="507" w:name="Tc_Am6CphDyCEmP1FkzjNjqCg_5_4"/>
      <w:bookmarkStart w:id="508" w:name="Tc_yHWjeocDl0KoyL4SBF2uCA_5_0"/>
      <w:bookmarkStart w:id="509" w:name="Tc_R6SI4dLRUkqPJjp4br0vaA_4_16"/>
      <w:bookmarkStart w:id="510" w:name="Tc_NKHhuRfAhkOI17xycycGcw_4_13"/>
      <w:bookmarkStart w:id="511" w:name="Tc_lC_8lTQoC0yHgeD_g2QdZA_4_10"/>
      <w:bookmarkStart w:id="512" w:name="Tc_zYKnFdFekEKfFFMGEdj2rA_4_7"/>
      <w:bookmarkStart w:id="513" w:name="Tc_Cg-S84kCvEONtuHEJ--NkQ_4_4"/>
      <w:bookmarkStart w:id="514" w:name="Tc_3GpBCsjoa0GcnTlxJFph9Q_4_2"/>
      <w:bookmarkStart w:id="515" w:name="Tc_4iEagWyKTUyhK-ubv6MKSA_3_16"/>
      <w:bookmarkStart w:id="516" w:name="Tc_L7hkMCBPqkq6K9U0QKbHVw_3_13"/>
      <w:bookmarkStart w:id="517" w:name="Tc_F6ZOxHkzdEO5aM4VRccoTQ_3_10"/>
      <w:bookmarkStart w:id="518" w:name="Tc_klkhkav_Z0uF3afH4-V8vg_3_7"/>
      <w:bookmarkStart w:id="519" w:name="Tc_lnNxSmRMKk6ky9B0qAnBgQ_3_2"/>
      <w:bookmarkStart w:id="520" w:name="Tc_HSiU3J4340a75lyLgq--Qg_3_0"/>
      <w:bookmarkStart w:id="521" w:name="Tc_ZzrOxQF7hUaqawCETnwCAw_2_16"/>
      <w:bookmarkStart w:id="522" w:name="Tc_4closT_XYUCbk2BQkvqb4A_2_10"/>
      <w:bookmarkStart w:id="523" w:name="Tc_FdZsjceJ6EC86mUJN5Hc7A_2_7"/>
      <w:bookmarkStart w:id="524" w:name="Tc_QviSbihvLku7NFvZMYvdsg_1_10"/>
      <w:bookmarkStart w:id="525" w:name="_2d85d136_4fb4_43a8_952e_87bfd5a5df55"/>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tbl>
      <w:tblPr>
        <w:tblW w:w="10205" w:type="dxa"/>
        <w:jc w:val="left"/>
        <w:tblInd w:w="0" w:type="dxa"/>
        <w:tblLayout w:type="fixed"/>
        <w:tblCellMar>
          <w:top w:w="0" w:type="dxa"/>
          <w:left w:w="0" w:type="dxa"/>
          <w:bottom w:w="0" w:type="dxa"/>
          <w:right w:w="0" w:type="dxa"/>
        </w:tblCellMar>
      </w:tblPr>
      <w:tblGrid>
        <w:gridCol w:w="2917"/>
        <w:gridCol w:w="326"/>
        <w:gridCol w:w="796"/>
        <w:gridCol w:w="326"/>
        <w:gridCol w:w="216"/>
        <w:gridCol w:w="415"/>
        <w:gridCol w:w="326"/>
        <w:gridCol w:w="181"/>
        <w:gridCol w:w="721"/>
        <w:gridCol w:w="326"/>
        <w:gridCol w:w="252"/>
        <w:gridCol w:w="799"/>
        <w:gridCol w:w="326"/>
        <w:gridCol w:w="181"/>
        <w:gridCol w:w="787"/>
        <w:gridCol w:w="326"/>
        <w:gridCol w:w="203"/>
        <w:gridCol w:w="781"/>
      </w:tblGrid>
      <w:tr>
        <w:trPr/>
        <w:tc>
          <w:tcPr>
            <w:tcW w:w="2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852295" cy="175260"/>
                      <wp:effectExtent l="0" t="0" r="0" b="0"/>
                      <wp:wrapNone/>
                      <wp:docPr id="55" name="Frame55"/>
                      <a:graphic xmlns:a="http://schemas.openxmlformats.org/drawingml/2006/main">
                        <a:graphicData uri="http://schemas.microsoft.com/office/word/2010/wordprocessingShape">
                          <wps:wsp>
                            <wps:cNvSpPr txBox="1"/>
                            <wps:spPr>
                              <a:xfrm>
                                <a:off x="0" y="0"/>
                                <a:ext cx="185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05460" cy="175260"/>
                      <wp:effectExtent l="0" t="0" r="0" b="0"/>
                      <wp:wrapNone/>
                      <wp:docPr id="57" name="Frame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7160" cy="175260"/>
                      <wp:effectExtent l="0" t="0" r="0" b="0"/>
                      <wp:wrapNone/>
                      <wp:docPr id="59" name="Frame5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63525" cy="175260"/>
                      <wp:effectExtent l="0" t="0" r="0" b="0"/>
                      <wp:wrapNone/>
                      <wp:docPr id="60" name="Frame60"/>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4935" cy="175260"/>
                      <wp:effectExtent l="0" t="0" r="0" b="0"/>
                      <wp:wrapNone/>
                      <wp:docPr id="62" name="Frame6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57835" cy="175260"/>
                      <wp:effectExtent l="0" t="0" r="0" b="0"/>
                      <wp:wrapNone/>
                      <wp:docPr id="63" name="Frame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60020" cy="175260"/>
                      <wp:effectExtent l="0" t="0" r="0" b="0"/>
                      <wp:wrapNone/>
                      <wp:docPr id="65" name="Frame6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07365" cy="175260"/>
                      <wp:effectExtent l="0" t="0" r="0" b="0"/>
                      <wp:wrapNone/>
                      <wp:docPr id="66" name="Frame66"/>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14935" cy="175260"/>
                      <wp:effectExtent l="0" t="0" r="0" b="0"/>
                      <wp:wrapNone/>
                      <wp:docPr id="68" name="Frame6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99745" cy="175260"/>
                      <wp:effectExtent l="0" t="0" r="0" b="0"/>
                      <wp:wrapNone/>
                      <wp:docPr id="69" name="Frame69"/>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8905" cy="175260"/>
                      <wp:effectExtent l="0" t="0" r="0" b="0"/>
                      <wp:wrapNone/>
                      <wp:docPr id="71" name="Frame71"/>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5935" cy="175260"/>
                      <wp:effectExtent l="0" t="0" r="0" b="0"/>
                      <wp:wrapNone/>
                      <wp:docPr id="72" name="Frame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9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84"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Three months ended June 30, 2022</w:t>
            </w:r>
          </w:p>
        </w:tc>
        <w:tc>
          <w:tcPr>
            <w:tcW w:w="326" w:type="dxa"/>
            <w:tcBorders/>
            <w:vAlign w:val="center"/>
          </w:tcPr>
          <w:p>
            <w:pPr>
              <w:pStyle w:val="TableContents"/>
              <w:bidi w:val="0"/>
              <w:spacing w:before="0" w:after="0"/>
              <w:ind w:left="0" w:right="0" w:hanging="0"/>
              <w:jc w:val="left"/>
              <w:rPr/>
            </w:pPr>
            <w:r>
              <w:rPr/>
              <w:t>​</w:t>
            </w:r>
          </w:p>
        </w:tc>
        <w:tc>
          <w:tcPr>
            <w:tcW w:w="17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26" w:type="dxa"/>
            <w:tcBorders/>
            <w:vAlign w:val="center"/>
          </w:tcPr>
          <w:p>
            <w:pPr>
              <w:pStyle w:val="TableContents"/>
              <w:bidi w:val="0"/>
              <w:spacing w:before="0" w:after="0"/>
              <w:ind w:left="0" w:right="0" w:hanging="0"/>
              <w:jc w:val="left"/>
              <w:rPr/>
            </w:pPr>
            <w:r>
              <w:rPr/>
              <w:t>​</w:t>
            </w:r>
          </w:p>
        </w:tc>
        <w:tc>
          <w:tcPr>
            <w:tcW w:w="96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w:t>
            </w:r>
          </w:p>
        </w:tc>
        <w:tc>
          <w:tcPr>
            <w:tcW w:w="984"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9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(loss) income</w:t>
            </w:r>
          </w:p>
        </w:tc>
        <w:tc>
          <w:tcPr>
            <w:tcW w:w="326" w:type="dxa"/>
            <w:tcBorders/>
            <w:vAlign w:val="center"/>
          </w:tcPr>
          <w:p>
            <w:pPr>
              <w:pStyle w:val="TableContents"/>
              <w:bidi w:val="0"/>
              <w:spacing w:before="0" w:after="0"/>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0"/>
              <w:ind w:left="0" w:right="0" w:hanging="0"/>
              <w:jc w:val="left"/>
              <w:rPr/>
            </w:pPr>
            <w:r>
              <w:rPr/>
              <w:t>    </w:t>
            </w:r>
          </w:p>
        </w:tc>
        <w:tc>
          <w:tcPr>
            <w:tcW w:w="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March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71,337,041</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2,152,639</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(18,608)</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(2,224,683)</w:t>
            </w:r>
          </w:p>
        </w:tc>
        <w:tc>
          <w:tcPr>
            <w:tcW w:w="326"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(90,581)</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options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27,832</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754</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754</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stock vesting and issuance, net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49,753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an employee stock purchase plan</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91,263</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3,107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3,107</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27,730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27,730</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(152,087)</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(152,087)</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28,859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28,859</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June 30, 2022</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71,505,889</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2,184,230</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10,251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(2,376,770)</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(182,218)</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26" w:name="Tc_cc9cU7duuEqXVyBjyALd5g_13_16"/>
      <w:bookmarkStart w:id="527" w:name="Tc_N5QYWsfaNUGa2asU8aiCCw_13_13"/>
      <w:bookmarkStart w:id="528" w:name="Tc_Oq9wqSqiZUGY7N1LWWDyxw_13_10"/>
      <w:bookmarkStart w:id="529" w:name="Tc_xYQvOL_erUysHafTHmkJfg_13_7"/>
      <w:bookmarkStart w:id="530" w:name="Tc_0LuJNgH2u0G_0hf2cSWn4A_13_4"/>
      <w:bookmarkStart w:id="531" w:name="Tc_K4ErlwB59E-HBvbd2PHqzw_13_0"/>
      <w:bookmarkStart w:id="532" w:name="Tc_mYakB-gZPkiAVsDVHQjvEQ_12_14"/>
      <w:bookmarkStart w:id="533" w:name="Tc_i-ORMJ7RUUO0GdJm4Ky3Eg_12_8"/>
      <w:bookmarkStart w:id="534" w:name="Tc_ejCYaG3RVUaQc9uCfMJMsw_12_5"/>
      <w:bookmarkStart w:id="535" w:name="Tc_U52XXp5tiEmTUBYm3d2oUA_12_2"/>
      <w:bookmarkStart w:id="536" w:name="Tc_lAMk9fvQfkWSE9-oK_ltsQ_12_0"/>
      <w:bookmarkStart w:id="537" w:name="Tc_Atia6iIEPUSC14b6fvGTJg_11_11"/>
      <w:bookmarkStart w:id="538" w:name="Tc_jRs5oh-_skii-LK1hXL9Jg_11_8"/>
      <w:bookmarkStart w:id="539" w:name="Tc_ytfc1Oj8e0-ZHZ8nh3csag_11_5"/>
      <w:bookmarkStart w:id="540" w:name="Tc_YwGoM7jnyUGMTpFDtOtmNA_11_2"/>
      <w:bookmarkStart w:id="541" w:name="Tc__XA4aoPFQ0OMnTQ1iAkZhQ_11_0"/>
      <w:bookmarkStart w:id="542" w:name="Tc_QlDFrlSVlUWiLONi5hHJcw_10_14"/>
      <w:bookmarkStart w:id="543" w:name="Tc__CrIoGsMs0WzOwVhLtRwkg_10_11"/>
      <w:bookmarkStart w:id="544" w:name="Tc_UetM-LMQXEWHZNGTfLS36w_10_5"/>
      <w:bookmarkStart w:id="545" w:name="Tc_5ybXmVLe_E25yA5CKdIRAQ_10_2"/>
      <w:bookmarkStart w:id="546" w:name="Tc__Ii5HxpIRUmQrN98v-0vqw_10_0"/>
      <w:bookmarkStart w:id="547" w:name="Tc_6dtELAQ93kqFI506fX7ZeQ_9_14"/>
      <w:bookmarkStart w:id="548" w:name="Tc_3yKSeLdLjkmCdLQsKcD1xw_9_11"/>
      <w:bookmarkStart w:id="549" w:name="Tc_NALqbQFyV0CrBw-CqFbIow_9_0"/>
      <w:bookmarkStart w:id="550" w:name="Tc_cdEx8aFInkGu9ZPWXeNu6w_8_14"/>
      <w:bookmarkStart w:id="551" w:name="Tc__JTHVdVOhEC0t0kWo2emXw_8_11"/>
      <w:bookmarkStart w:id="552" w:name="Tc_pRvAr4xO-UazWfmFfeCgOw_8_5"/>
      <w:bookmarkStart w:id="553" w:name="Tc_YECd-_5zCkOy90tN7Ig1gg_8_0"/>
      <w:bookmarkStart w:id="554" w:name="Tc_ssDwegEEgEy-rIIo1Y8wfQ_7_14"/>
      <w:bookmarkStart w:id="555" w:name="Tc_Y4GiKKHoQ0-E7P5uoH5XJw_7_11"/>
      <w:bookmarkStart w:id="556" w:name="Tc_alqtb-h0aUu7_MbtvQF9dA_7_8"/>
      <w:bookmarkStart w:id="557" w:name="Tc_ebKYyrk7vEOyV2MBjyB-eg_7_0"/>
      <w:bookmarkStart w:id="558" w:name="Tc_oX5uCAtC4UWiHppgXUqahQ_6_14"/>
      <w:bookmarkStart w:id="559" w:name="Tc_RcJjJzZuO0KNdA02daWQ_g_6_11"/>
      <w:bookmarkStart w:id="560" w:name="Tc_t-ZRSCKhFU-vgSWeHEya4g_6_0"/>
      <w:bookmarkStart w:id="561" w:name="Tc_SuqF5n9J4ECZPCXPQuRHpA_5_16"/>
      <w:bookmarkStart w:id="562" w:name="Tc_W1lSnPRyBUONrjIDQVqEvA_5_13"/>
      <w:bookmarkStart w:id="563" w:name="Tc__dd8rBJciU-OZC0OSNByyw_5_10"/>
      <w:bookmarkStart w:id="564" w:name="Tc_CWTcf8hU8ESD1Xo3C0PJYA_5_7"/>
      <w:bookmarkStart w:id="565" w:name="Tc_PKRdklox5kKgXFsO58YLIg_5_4"/>
      <w:bookmarkStart w:id="566" w:name="Tc_ESY4UfB14UKMIXpfws9wAQ_5_0"/>
      <w:bookmarkStart w:id="567" w:name="Tc_CuPBOvRL702QRZ0akBrrOg_4_16"/>
      <w:bookmarkStart w:id="568" w:name="Tc_3Z73D9Uvv0qUXR1r_gZr9g_4_13"/>
      <w:bookmarkStart w:id="569" w:name="Tc_Atnzu8lSKk6l5cgi58RB3Q_4_10"/>
      <w:bookmarkStart w:id="570" w:name="Tc_MUYczJ0XrkSYgxjOOgpBLQ_4_7"/>
      <w:bookmarkStart w:id="571" w:name="Tc_lSJBkw3qbUGo2rm0CvZkcw_4_4"/>
      <w:bookmarkStart w:id="572" w:name="Tc_UOw0wOMfU0-IH27fTk75_A_4_2"/>
      <w:bookmarkStart w:id="573" w:name="Tc_EFoZT7VWmEGbAwm_nxhoxA_3_16"/>
      <w:bookmarkStart w:id="574" w:name="Tc__IX_HSQSbEC_lrYm6xCuMg_3_13"/>
      <w:bookmarkStart w:id="575" w:name="Tc_nT3pFS66g0qvT_JnuZorfw_3_10"/>
      <w:bookmarkStart w:id="576" w:name="Tc_x1m5Dxum70iTy-z5pAANqw_3_7"/>
      <w:bookmarkStart w:id="577" w:name="Tc_xNCWhvhV8Umjxm0QlzhzjQ_3_2"/>
      <w:bookmarkStart w:id="578" w:name="Tc_tRe8OeD_LEW4ZquMH71dQw_3_0"/>
      <w:bookmarkStart w:id="579" w:name="Tc_RjyRzJfZrkeDrabbINHsZQ_2_16"/>
      <w:bookmarkStart w:id="580" w:name="Tc_f6OG39VooUCbBzbP_IEZUQ_2_10"/>
      <w:bookmarkStart w:id="581" w:name="Tc_JQLLfZD9oECJefkVeV3rAg_2_7"/>
      <w:bookmarkStart w:id="582" w:name="Tc_JSpYZHSs0kKtlDtM4TY2zA_1_10"/>
      <w:bookmarkStart w:id="583" w:name="_ad316e60_182f_488f_9876_79ac51368144"/>
      <w:bookmarkStart w:id="584" w:name="Tc_cc9cU7duuEqXVyBjyALd5g_13_16"/>
      <w:bookmarkStart w:id="585" w:name="Tc_N5QYWsfaNUGa2asU8aiCCw_13_13"/>
      <w:bookmarkStart w:id="586" w:name="Tc_Oq9wqSqiZUGY7N1LWWDyxw_13_10"/>
      <w:bookmarkStart w:id="587" w:name="Tc_xYQvOL_erUysHafTHmkJfg_13_7"/>
      <w:bookmarkStart w:id="588" w:name="Tc_0LuJNgH2u0G_0hf2cSWn4A_13_4"/>
      <w:bookmarkStart w:id="589" w:name="Tc_K4ErlwB59E-HBvbd2PHqzw_13_0"/>
      <w:bookmarkStart w:id="590" w:name="Tc_mYakB-gZPkiAVsDVHQjvEQ_12_14"/>
      <w:bookmarkStart w:id="591" w:name="Tc_i-ORMJ7RUUO0GdJm4Ky3Eg_12_8"/>
      <w:bookmarkStart w:id="592" w:name="Tc_ejCYaG3RVUaQc9uCfMJMsw_12_5"/>
      <w:bookmarkStart w:id="593" w:name="Tc_U52XXp5tiEmTUBYm3d2oUA_12_2"/>
      <w:bookmarkStart w:id="594" w:name="Tc_lAMk9fvQfkWSE9-oK_ltsQ_12_0"/>
      <w:bookmarkStart w:id="595" w:name="Tc_Atia6iIEPUSC14b6fvGTJg_11_11"/>
      <w:bookmarkStart w:id="596" w:name="Tc_jRs5oh-_skii-LK1hXL9Jg_11_8"/>
      <w:bookmarkStart w:id="597" w:name="Tc_ytfc1Oj8e0-ZHZ8nh3csag_11_5"/>
      <w:bookmarkStart w:id="598" w:name="Tc_YwGoM7jnyUGMTpFDtOtmNA_11_2"/>
      <w:bookmarkStart w:id="599" w:name="Tc__XA4aoPFQ0OMnTQ1iAkZhQ_11_0"/>
      <w:bookmarkStart w:id="600" w:name="Tc_QlDFrlSVlUWiLONi5hHJcw_10_14"/>
      <w:bookmarkStart w:id="601" w:name="Tc__CrIoGsMs0WzOwVhLtRwkg_10_11"/>
      <w:bookmarkStart w:id="602" w:name="Tc_UetM-LMQXEWHZNGTfLS36w_10_5"/>
      <w:bookmarkStart w:id="603" w:name="Tc_5ybXmVLe_E25yA5CKdIRAQ_10_2"/>
      <w:bookmarkStart w:id="604" w:name="Tc__Ii5HxpIRUmQrN98v-0vqw_10_0"/>
      <w:bookmarkStart w:id="605" w:name="Tc_6dtELAQ93kqFI506fX7ZeQ_9_14"/>
      <w:bookmarkStart w:id="606" w:name="Tc_3yKSeLdLjkmCdLQsKcD1xw_9_11"/>
      <w:bookmarkStart w:id="607" w:name="Tc_NALqbQFyV0CrBw-CqFbIow_9_0"/>
      <w:bookmarkStart w:id="608" w:name="Tc_cdEx8aFInkGu9ZPWXeNu6w_8_14"/>
      <w:bookmarkStart w:id="609" w:name="Tc__JTHVdVOhEC0t0kWo2emXw_8_11"/>
      <w:bookmarkStart w:id="610" w:name="Tc_pRvAr4xO-UazWfmFfeCgOw_8_5"/>
      <w:bookmarkStart w:id="611" w:name="Tc_YECd-_5zCkOy90tN7Ig1gg_8_0"/>
      <w:bookmarkStart w:id="612" w:name="Tc_ssDwegEEgEy-rIIo1Y8wfQ_7_14"/>
      <w:bookmarkStart w:id="613" w:name="Tc_Y4GiKKHoQ0-E7P5uoH5XJw_7_11"/>
      <w:bookmarkStart w:id="614" w:name="Tc_alqtb-h0aUu7_MbtvQF9dA_7_8"/>
      <w:bookmarkStart w:id="615" w:name="Tc_ebKYyrk7vEOyV2MBjyB-eg_7_0"/>
      <w:bookmarkStart w:id="616" w:name="Tc_oX5uCAtC4UWiHppgXUqahQ_6_14"/>
      <w:bookmarkStart w:id="617" w:name="Tc_RcJjJzZuO0KNdA02daWQ_g_6_11"/>
      <w:bookmarkStart w:id="618" w:name="Tc_t-ZRSCKhFU-vgSWeHEya4g_6_0"/>
      <w:bookmarkStart w:id="619" w:name="Tc_SuqF5n9J4ECZPCXPQuRHpA_5_16"/>
      <w:bookmarkStart w:id="620" w:name="Tc_W1lSnPRyBUONrjIDQVqEvA_5_13"/>
      <w:bookmarkStart w:id="621" w:name="Tc__dd8rBJciU-OZC0OSNByyw_5_10"/>
      <w:bookmarkStart w:id="622" w:name="Tc_CWTcf8hU8ESD1Xo3C0PJYA_5_7"/>
      <w:bookmarkStart w:id="623" w:name="Tc_PKRdklox5kKgXFsO58YLIg_5_4"/>
      <w:bookmarkStart w:id="624" w:name="Tc_ESY4UfB14UKMIXpfws9wAQ_5_0"/>
      <w:bookmarkStart w:id="625" w:name="Tc_CuPBOvRL702QRZ0akBrrOg_4_16"/>
      <w:bookmarkStart w:id="626" w:name="Tc_3Z73D9Uvv0qUXR1r_gZr9g_4_13"/>
      <w:bookmarkStart w:id="627" w:name="Tc_Atnzu8lSKk6l5cgi58RB3Q_4_10"/>
      <w:bookmarkStart w:id="628" w:name="Tc_MUYczJ0XrkSYgxjOOgpBLQ_4_7"/>
      <w:bookmarkStart w:id="629" w:name="Tc_lSJBkw3qbUGo2rm0CvZkcw_4_4"/>
      <w:bookmarkStart w:id="630" w:name="Tc_UOw0wOMfU0-IH27fTk75_A_4_2"/>
      <w:bookmarkStart w:id="631" w:name="Tc_EFoZT7VWmEGbAwm_nxhoxA_3_16"/>
      <w:bookmarkStart w:id="632" w:name="Tc__IX_HSQSbEC_lrYm6xCuMg_3_13"/>
      <w:bookmarkStart w:id="633" w:name="Tc_nT3pFS66g0qvT_JnuZorfw_3_10"/>
      <w:bookmarkStart w:id="634" w:name="Tc_x1m5Dxum70iTy-z5pAANqw_3_7"/>
      <w:bookmarkStart w:id="635" w:name="Tc_xNCWhvhV8Umjxm0QlzhzjQ_3_2"/>
      <w:bookmarkStart w:id="636" w:name="Tc_tRe8OeD_LEW4ZquMH71dQw_3_0"/>
      <w:bookmarkStart w:id="637" w:name="Tc_RjyRzJfZrkeDrabbINHsZQ_2_16"/>
      <w:bookmarkStart w:id="638" w:name="Tc_f6OG39VooUCbBzbP_IEZUQ_2_10"/>
      <w:bookmarkStart w:id="639" w:name="Tc_JQLLfZD9oECJefkVeV3rAg_2_7"/>
      <w:bookmarkStart w:id="640" w:name="Tc_JSpYZHSs0kKtlDtM4TY2zA_1_10"/>
      <w:bookmarkStart w:id="641" w:name="_ad316e60_182f_488f_9876_79ac51368144"/>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tbl>
      <w:tblPr>
        <w:tblW w:w="10205" w:type="dxa"/>
        <w:jc w:val="left"/>
        <w:tblInd w:w="0" w:type="dxa"/>
        <w:tblLayout w:type="fixed"/>
        <w:tblCellMar>
          <w:top w:w="0" w:type="dxa"/>
          <w:left w:w="0" w:type="dxa"/>
          <w:bottom w:w="0" w:type="dxa"/>
          <w:right w:w="0" w:type="dxa"/>
        </w:tblCellMar>
      </w:tblPr>
      <w:tblGrid>
        <w:gridCol w:w="2917"/>
        <w:gridCol w:w="326"/>
        <w:gridCol w:w="796"/>
        <w:gridCol w:w="326"/>
        <w:gridCol w:w="216"/>
        <w:gridCol w:w="415"/>
        <w:gridCol w:w="326"/>
        <w:gridCol w:w="181"/>
        <w:gridCol w:w="721"/>
        <w:gridCol w:w="326"/>
        <w:gridCol w:w="279"/>
        <w:gridCol w:w="772"/>
        <w:gridCol w:w="326"/>
        <w:gridCol w:w="181"/>
        <w:gridCol w:w="787"/>
        <w:gridCol w:w="326"/>
        <w:gridCol w:w="203"/>
        <w:gridCol w:w="781"/>
      </w:tblGrid>
      <w:tr>
        <w:trPr/>
        <w:tc>
          <w:tcPr>
            <w:tcW w:w="2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852295" cy="175260"/>
                      <wp:effectExtent l="0" t="0" r="0" b="0"/>
                      <wp:wrapNone/>
                      <wp:docPr id="73" name="Frame73"/>
                      <a:graphic xmlns:a="http://schemas.openxmlformats.org/drawingml/2006/main">
                        <a:graphicData uri="http://schemas.microsoft.com/office/word/2010/wordprocessingShape">
                          <wps:wsp>
                            <wps:cNvSpPr txBox="1"/>
                            <wps:spPr>
                              <a:xfrm>
                                <a:off x="0" y="0"/>
                                <a:ext cx="185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05460" cy="175260"/>
                      <wp:effectExtent l="0" t="0" r="0" b="0"/>
                      <wp:wrapNone/>
                      <wp:docPr id="75" name="Frame7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7160" cy="175260"/>
                      <wp:effectExtent l="0" t="0" r="0" b="0"/>
                      <wp:wrapNone/>
                      <wp:docPr id="77" name="Frame77"/>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63525" cy="175260"/>
                      <wp:effectExtent l="0" t="0" r="0" b="0"/>
                      <wp:wrapNone/>
                      <wp:docPr id="78" name="Frame78"/>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14935" cy="175260"/>
                      <wp:effectExtent l="0" t="0" r="0" b="0"/>
                      <wp:wrapNone/>
                      <wp:docPr id="80" name="Frame8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57835" cy="175260"/>
                      <wp:effectExtent l="0" t="0" r="0" b="0"/>
                      <wp:wrapNone/>
                      <wp:docPr id="81" name="Frame8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77165" cy="175260"/>
                      <wp:effectExtent l="0" t="0" r="0" b="0"/>
                      <wp:wrapNone/>
                      <wp:docPr id="83" name="Frame8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0220" cy="175260"/>
                      <wp:effectExtent l="0" t="0" r="0" b="0"/>
                      <wp:wrapNone/>
                      <wp:docPr id="84" name="Frame84"/>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14935" cy="175260"/>
                      <wp:effectExtent l="0" t="0" r="0" b="0"/>
                      <wp:wrapNone/>
                      <wp:docPr id="86" name="Frame8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9745" cy="175260"/>
                      <wp:effectExtent l="0" t="0" r="0" b="0"/>
                      <wp:wrapNone/>
                      <wp:docPr id="87" name="Frame87"/>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8905" cy="175260"/>
                      <wp:effectExtent l="0" t="0" r="0" b="0"/>
                      <wp:wrapNone/>
                      <wp:docPr id="89" name="Frame8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90"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9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84"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Six months ended June 30, 2023</w:t>
            </w:r>
          </w:p>
        </w:tc>
        <w:tc>
          <w:tcPr>
            <w:tcW w:w="326" w:type="dxa"/>
            <w:tcBorders/>
            <w:vAlign w:val="center"/>
          </w:tcPr>
          <w:p>
            <w:pPr>
              <w:pStyle w:val="TableContents"/>
              <w:bidi w:val="0"/>
              <w:spacing w:before="0" w:after="0"/>
              <w:ind w:left="0" w:right="0" w:hanging="0"/>
              <w:jc w:val="left"/>
              <w:rPr/>
            </w:pPr>
            <w:r>
              <w:rPr/>
              <w:t>​</w:t>
            </w:r>
          </w:p>
        </w:tc>
        <w:tc>
          <w:tcPr>
            <w:tcW w:w="17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26" w:type="dxa"/>
            <w:tcBorders/>
            <w:vAlign w:val="center"/>
          </w:tcPr>
          <w:p>
            <w:pPr>
              <w:pStyle w:val="TableContents"/>
              <w:bidi w:val="0"/>
              <w:spacing w:before="0" w:after="0"/>
              <w:ind w:left="0" w:right="0" w:hanging="0"/>
              <w:jc w:val="left"/>
              <w:rPr/>
            </w:pPr>
            <w:r>
              <w:rPr/>
              <w:t>​</w:t>
            </w:r>
          </w:p>
        </w:tc>
        <w:tc>
          <w:tcPr>
            <w:tcW w:w="96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w:t>
            </w:r>
          </w:p>
        </w:tc>
        <w:tc>
          <w:tcPr>
            <w:tcW w:w="984"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9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326" w:type="dxa"/>
            <w:tcBorders/>
            <w:vAlign w:val="center"/>
          </w:tcPr>
          <w:p>
            <w:pPr>
              <w:pStyle w:val="TableContents"/>
              <w:bidi w:val="0"/>
              <w:spacing w:before="0" w:after="0"/>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0"/>
              <w:ind w:left="0" w:right="0" w:hanging="0"/>
              <w:jc w:val="left"/>
              <w:rPr/>
            </w:pPr>
            <w:r>
              <w:rPr/>
              <w:t>    </w:t>
            </w:r>
          </w:p>
        </w:tc>
        <w:tc>
          <w:tcPr>
            <w:tcW w:w="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73,104,692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2,305,020</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4,796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(2,656,974)</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(347,086)</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options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692,612</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20,324</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20,325</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stock vesting and issuance, net</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746,163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an employee stock purchase plan</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117,304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3,805</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3,805</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a milestone payable</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657,462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29,569</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29,570</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expense</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58,186</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58,186</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(337,842)</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(337,842)</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Comprehensive loss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(6,227)</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(6,227)</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75,318,233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2,416,904</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(2,994,816)</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(579,268)</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2" w:name="Tc_XMEUdUqTDkS98xpHgZKWoQ_12_16"/>
      <w:bookmarkStart w:id="643" w:name="Tc_yrToKisCjEm1g-KZbbdVfg_12_13"/>
      <w:bookmarkStart w:id="644" w:name="Tc_jMU9zgnXJUe2ehYV-woXig_12_10"/>
      <w:bookmarkStart w:id="645" w:name="Tc_I0o9XG-Obk-ojLvrTLmbLg_12_7"/>
      <w:bookmarkStart w:id="646" w:name="Tc_dx_Sd7zqs0eHw2n32HGBSw_12_4"/>
      <w:bookmarkStart w:id="647" w:name="Tc_SaM1D-XUxU-6KFZmgnI1gg_12_0"/>
      <w:bookmarkStart w:id="648" w:name="Tc_h5ayrp6vOECA90z5-z0LQg_11_14"/>
      <w:bookmarkStart w:id="649" w:name="Tc_FTd8WZca9kGkLz4MP_FeXQ_11_8"/>
      <w:bookmarkStart w:id="650" w:name="Tc_wD03gJTuq0eXWEIdpWNh0g_11_5"/>
      <w:bookmarkStart w:id="651" w:name="Tc_kHA6at-NekWfpWmUYx9qZA_11_2"/>
      <w:bookmarkStart w:id="652" w:name="Tc_rtr84SsO5kO4hqA_OvPQcQ_11_0"/>
      <w:bookmarkStart w:id="653" w:name="Tc_EaL82LT17kqXD7eane2B6w_10_11"/>
      <w:bookmarkStart w:id="654" w:name="Tc_sRdbdxLT30ahV2i_iswTrA_10_8"/>
      <w:bookmarkStart w:id="655" w:name="Tc_HmOjZJI720mitP6d0VWkiQ_10_5"/>
      <w:bookmarkStart w:id="656" w:name="Tc_LNiJpPuEwEmR1nbFomy1Aw_10_2"/>
      <w:bookmarkStart w:id="657" w:name="Tc_SfLlZtObMUKGMOcP9AyRow_10_0"/>
      <w:bookmarkStart w:id="658" w:name="Tc_m63ONTulHU-RvRY6A0IZ8Q_9_14"/>
      <w:bookmarkStart w:id="659" w:name="Tc_GsqFseFn20a0P3-42Ti46w_9_11"/>
      <w:bookmarkStart w:id="660" w:name="Tc_wTZFwLIalk-MynuLhCnBng_9_5"/>
      <w:bookmarkStart w:id="661" w:name="Tc_4MCgJWpqmU6kBC2t6MLExw_9_2"/>
      <w:bookmarkStart w:id="662" w:name="Tc_OqR7_DSAZk-QnyxDX1maCA_9_0"/>
      <w:bookmarkStart w:id="663" w:name="Tc_owirOyfgBkO3VD9DzWZq5Q_8_14"/>
      <w:bookmarkStart w:id="664" w:name="Tc_ukIkHUqgRkaoimhx-d-xGw_8_11"/>
      <w:bookmarkStart w:id="665" w:name="Tc_Ve6YPVeYv0qSJ-EXJRK5Dg_8_5"/>
      <w:bookmarkStart w:id="666" w:name="Tc_ngmDrV8RBUWxbWoSxAhUcQ_8_0"/>
      <w:bookmarkStart w:id="667" w:name="Tc_rUL1jhFbQ0GP7BKNzSERuw_7_17"/>
      <w:bookmarkStart w:id="668" w:name="Tc_XYQ02ej4qEytImtRcQGNAw_7_14"/>
      <w:bookmarkStart w:id="669" w:name="Tc_wFYG9mlL1kmiXqokP9HJXg_7_11"/>
      <w:bookmarkStart w:id="670" w:name="Tc_g8vTGaWt9kWVIUJjk-DqCg_7_8"/>
      <w:bookmarkStart w:id="671" w:name="Tc_mtEHSD7pIUK-6fU1Nl-9uA_7_5"/>
      <w:bookmarkStart w:id="672" w:name="Tc_GuBCHnAZNUaabuZ0O0kA-A_7_0"/>
      <w:bookmarkStart w:id="673" w:name="Tc_Vy98WApK4EOvPtwrWzRCUA_6_14"/>
      <w:bookmarkStart w:id="674" w:name="Tc_W12JolynOUOacawyHHl5Dw_6_11"/>
      <w:bookmarkStart w:id="675" w:name="Tc_E2JUHS01306Q2X9JZSeLPA_6_5"/>
      <w:bookmarkStart w:id="676" w:name="Tc_JuHcKsG3X0WX2R5ZhHS5lg_6_0"/>
      <w:bookmarkStart w:id="677" w:name="Tc_Zrwa3fKJ8U2mkuUcEUDKYQ_5_16"/>
      <w:bookmarkStart w:id="678" w:name="Tc_fWIcF9mVyUWG884BAIYz9A_5_13"/>
      <w:bookmarkStart w:id="679" w:name="Tc_RSpVUA6SDUG6UMdmtqBtEw_5_10"/>
      <w:bookmarkStart w:id="680" w:name="Tc_swHk6X5g00KHJTuTn6qKJg_5_7"/>
      <w:bookmarkStart w:id="681" w:name="Tc_Ty4HfEeII0aX_kN-iWzffw_5_4"/>
      <w:bookmarkStart w:id="682" w:name="Tc_fdUQ8JuLEUu8f-bwsrhddA_5_0"/>
      <w:bookmarkStart w:id="683" w:name="Tc_vD8-71N_e06qTnFyB7fJWQ_4_16"/>
      <w:bookmarkStart w:id="684" w:name="Tc_oseiqa8AakymMxV2Ot6ixA_4_13"/>
      <w:bookmarkStart w:id="685" w:name="Tc_1qTjdJjQh0GuCHA1ZUTuKA_4_10"/>
      <w:bookmarkStart w:id="686" w:name="Tc_GoQxhKUZKEaARF8wmV_1rw_4_7"/>
      <w:bookmarkStart w:id="687" w:name="Tc_J78v3HqhlE-6dKUZudsCvA_4_4"/>
      <w:bookmarkStart w:id="688" w:name="Tc_ikx7iHP_ekWMCIdvM3djCg_4_2"/>
      <w:bookmarkStart w:id="689" w:name="Tc_dj0mLEPyX0iVeuKq6ZSUYw_3_16"/>
      <w:bookmarkStart w:id="690" w:name="Tc_x0QQTSsdl0eiHAJd8mgcWA_3_13"/>
      <w:bookmarkStart w:id="691" w:name="Tc_MgtuSTlDFUyRFiZ4Z93H0A_3_10"/>
      <w:bookmarkStart w:id="692" w:name="Tc_pgKwfpCqQUK67kd_0VhE5Q_3_7"/>
      <w:bookmarkStart w:id="693" w:name="Tc_zZblQQrr4ES5W0lQ6VV3Sg_3_2"/>
      <w:bookmarkStart w:id="694" w:name="Tc_OlpqO-bz0UGH_gF6cDYgBg_3_0"/>
      <w:bookmarkStart w:id="695" w:name="Tc_ThsokN1-GUqpx2cbrmHE7g_2_16"/>
      <w:bookmarkStart w:id="696" w:name="Tc_ni-CxraRIkOKNOftrFTyvg_2_10"/>
      <w:bookmarkStart w:id="697" w:name="Tc_NuehkvSviUyGzdWyBhiZ9A_2_7"/>
      <w:bookmarkStart w:id="698" w:name="Tc_qrBLAdPOYU-V1tGi9cmwyw_1_10"/>
      <w:bookmarkStart w:id="699" w:name="_4dd23a1b_504f_47e3_a01d_adbdea2dd069"/>
      <w:bookmarkStart w:id="700" w:name="Tc_XMEUdUqTDkS98xpHgZKWoQ_12_16"/>
      <w:bookmarkStart w:id="701" w:name="Tc_yrToKisCjEm1g-KZbbdVfg_12_13"/>
      <w:bookmarkStart w:id="702" w:name="Tc_jMU9zgnXJUe2ehYV-woXig_12_10"/>
      <w:bookmarkStart w:id="703" w:name="Tc_I0o9XG-Obk-ojLvrTLmbLg_12_7"/>
      <w:bookmarkStart w:id="704" w:name="Tc_dx_Sd7zqs0eHw2n32HGBSw_12_4"/>
      <w:bookmarkStart w:id="705" w:name="Tc_SaM1D-XUxU-6KFZmgnI1gg_12_0"/>
      <w:bookmarkStart w:id="706" w:name="Tc_h5ayrp6vOECA90z5-z0LQg_11_14"/>
      <w:bookmarkStart w:id="707" w:name="Tc_FTd8WZca9kGkLz4MP_FeXQ_11_8"/>
      <w:bookmarkStart w:id="708" w:name="Tc_wD03gJTuq0eXWEIdpWNh0g_11_5"/>
      <w:bookmarkStart w:id="709" w:name="Tc_kHA6at-NekWfpWmUYx9qZA_11_2"/>
      <w:bookmarkStart w:id="710" w:name="Tc_rtr84SsO5kO4hqA_OvPQcQ_11_0"/>
      <w:bookmarkStart w:id="711" w:name="Tc_EaL82LT17kqXD7eane2B6w_10_11"/>
      <w:bookmarkStart w:id="712" w:name="Tc_sRdbdxLT30ahV2i_iswTrA_10_8"/>
      <w:bookmarkStart w:id="713" w:name="Tc_HmOjZJI720mitP6d0VWkiQ_10_5"/>
      <w:bookmarkStart w:id="714" w:name="Tc_LNiJpPuEwEmR1nbFomy1Aw_10_2"/>
      <w:bookmarkStart w:id="715" w:name="Tc_SfLlZtObMUKGMOcP9AyRow_10_0"/>
      <w:bookmarkStart w:id="716" w:name="Tc_m63ONTulHU-RvRY6A0IZ8Q_9_14"/>
      <w:bookmarkStart w:id="717" w:name="Tc_GsqFseFn20a0P3-42Ti46w_9_11"/>
      <w:bookmarkStart w:id="718" w:name="Tc_wTZFwLIalk-MynuLhCnBng_9_5"/>
      <w:bookmarkStart w:id="719" w:name="Tc_4MCgJWpqmU6kBC2t6MLExw_9_2"/>
      <w:bookmarkStart w:id="720" w:name="Tc_OqR7_DSAZk-QnyxDX1maCA_9_0"/>
      <w:bookmarkStart w:id="721" w:name="Tc_owirOyfgBkO3VD9DzWZq5Q_8_14"/>
      <w:bookmarkStart w:id="722" w:name="Tc_ukIkHUqgRkaoimhx-d-xGw_8_11"/>
      <w:bookmarkStart w:id="723" w:name="Tc_Ve6YPVeYv0qSJ-EXJRK5Dg_8_5"/>
      <w:bookmarkStart w:id="724" w:name="Tc_ngmDrV8RBUWxbWoSxAhUcQ_8_0"/>
      <w:bookmarkStart w:id="725" w:name="Tc_rUL1jhFbQ0GP7BKNzSERuw_7_17"/>
      <w:bookmarkStart w:id="726" w:name="Tc_XYQ02ej4qEytImtRcQGNAw_7_14"/>
      <w:bookmarkStart w:id="727" w:name="Tc_wFYG9mlL1kmiXqokP9HJXg_7_11"/>
      <w:bookmarkStart w:id="728" w:name="Tc_g8vTGaWt9kWVIUJjk-DqCg_7_8"/>
      <w:bookmarkStart w:id="729" w:name="Tc_mtEHSD7pIUK-6fU1Nl-9uA_7_5"/>
      <w:bookmarkStart w:id="730" w:name="Tc_GuBCHnAZNUaabuZ0O0kA-A_7_0"/>
      <w:bookmarkStart w:id="731" w:name="Tc_Vy98WApK4EOvPtwrWzRCUA_6_14"/>
      <w:bookmarkStart w:id="732" w:name="Tc_W12JolynOUOacawyHHl5Dw_6_11"/>
      <w:bookmarkStart w:id="733" w:name="Tc_E2JUHS01306Q2X9JZSeLPA_6_5"/>
      <w:bookmarkStart w:id="734" w:name="Tc_JuHcKsG3X0WX2R5ZhHS5lg_6_0"/>
      <w:bookmarkStart w:id="735" w:name="Tc_Zrwa3fKJ8U2mkuUcEUDKYQ_5_16"/>
      <w:bookmarkStart w:id="736" w:name="Tc_fWIcF9mVyUWG884BAIYz9A_5_13"/>
      <w:bookmarkStart w:id="737" w:name="Tc_RSpVUA6SDUG6UMdmtqBtEw_5_10"/>
      <w:bookmarkStart w:id="738" w:name="Tc_swHk6X5g00KHJTuTn6qKJg_5_7"/>
      <w:bookmarkStart w:id="739" w:name="Tc_Ty4HfEeII0aX_kN-iWzffw_5_4"/>
      <w:bookmarkStart w:id="740" w:name="Tc_fdUQ8JuLEUu8f-bwsrhddA_5_0"/>
      <w:bookmarkStart w:id="741" w:name="Tc_vD8-71N_e06qTnFyB7fJWQ_4_16"/>
      <w:bookmarkStart w:id="742" w:name="Tc_oseiqa8AakymMxV2Ot6ixA_4_13"/>
      <w:bookmarkStart w:id="743" w:name="Tc_1qTjdJjQh0GuCHA1ZUTuKA_4_10"/>
      <w:bookmarkStart w:id="744" w:name="Tc_GoQxhKUZKEaARF8wmV_1rw_4_7"/>
      <w:bookmarkStart w:id="745" w:name="Tc_J78v3HqhlE-6dKUZudsCvA_4_4"/>
      <w:bookmarkStart w:id="746" w:name="Tc_ikx7iHP_ekWMCIdvM3djCg_4_2"/>
      <w:bookmarkStart w:id="747" w:name="Tc_dj0mLEPyX0iVeuKq6ZSUYw_3_16"/>
      <w:bookmarkStart w:id="748" w:name="Tc_x0QQTSsdl0eiHAJd8mgcWA_3_13"/>
      <w:bookmarkStart w:id="749" w:name="Tc_MgtuSTlDFUyRFiZ4Z93H0A_3_10"/>
      <w:bookmarkStart w:id="750" w:name="Tc_pgKwfpCqQUK67kd_0VhE5Q_3_7"/>
      <w:bookmarkStart w:id="751" w:name="Tc_zZblQQrr4ES5W0lQ6VV3Sg_3_2"/>
      <w:bookmarkStart w:id="752" w:name="Tc_OlpqO-bz0UGH_gF6cDYgBg_3_0"/>
      <w:bookmarkStart w:id="753" w:name="Tc_ThsokN1-GUqpx2cbrmHE7g_2_16"/>
      <w:bookmarkStart w:id="754" w:name="Tc_ni-CxraRIkOKNOftrFTyvg_2_10"/>
      <w:bookmarkStart w:id="755" w:name="Tc_NuehkvSviUyGzdWyBhiZ9A_2_7"/>
      <w:bookmarkStart w:id="756" w:name="Tc_qrBLAdPOYU-V1tGi9cmwyw_1_10"/>
      <w:bookmarkStart w:id="757" w:name="_4dd23a1b_504f_47e3_a01d_adbdea2dd06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tbl>
      <w:tblPr>
        <w:tblW w:w="10205" w:type="dxa"/>
        <w:jc w:val="left"/>
        <w:tblInd w:w="0" w:type="dxa"/>
        <w:tblLayout w:type="fixed"/>
        <w:tblCellMar>
          <w:top w:w="0" w:type="dxa"/>
          <w:left w:w="0" w:type="dxa"/>
          <w:bottom w:w="0" w:type="dxa"/>
          <w:right w:w="0" w:type="dxa"/>
        </w:tblCellMar>
      </w:tblPr>
      <w:tblGrid>
        <w:gridCol w:w="2882"/>
        <w:gridCol w:w="326"/>
        <w:gridCol w:w="796"/>
        <w:gridCol w:w="326"/>
        <w:gridCol w:w="216"/>
        <w:gridCol w:w="415"/>
        <w:gridCol w:w="326"/>
        <w:gridCol w:w="181"/>
        <w:gridCol w:w="721"/>
        <w:gridCol w:w="326"/>
        <w:gridCol w:w="252"/>
        <w:gridCol w:w="799"/>
        <w:gridCol w:w="326"/>
        <w:gridCol w:w="181"/>
        <w:gridCol w:w="787"/>
        <w:gridCol w:w="326"/>
        <w:gridCol w:w="210"/>
        <w:gridCol w:w="809"/>
      </w:tblGrid>
      <w:tr>
        <w:trPr/>
        <w:tc>
          <w:tcPr>
            <w:tcW w:w="2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30070" cy="175260"/>
                      <wp:effectExtent l="0" t="0" r="0" b="0"/>
                      <wp:wrapNone/>
                      <wp:docPr id="91" name="Frame91"/>
                      <a:graphic xmlns:a="http://schemas.openxmlformats.org/drawingml/2006/main">
                        <a:graphicData uri="http://schemas.microsoft.com/office/word/2010/wordprocessingShape">
                          <wps:wsp>
                            <wps:cNvSpPr txBox="1"/>
                            <wps:spPr>
                              <a:xfrm>
                                <a:off x="0" y="0"/>
                                <a:ext cx="183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5460" cy="175260"/>
                      <wp:effectExtent l="0" t="0" r="0" b="0"/>
                      <wp:wrapNone/>
                      <wp:docPr id="93" name="Frame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7160" cy="175260"/>
                      <wp:effectExtent l="0" t="0" r="0" b="0"/>
                      <wp:wrapNone/>
                      <wp:docPr id="95" name="Frame9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63525" cy="175260"/>
                      <wp:effectExtent l="0" t="0" r="0" b="0"/>
                      <wp:wrapNone/>
                      <wp:docPr id="96" name="Frame9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14935" cy="175260"/>
                      <wp:effectExtent l="0" t="0" r="0" b="0"/>
                      <wp:wrapNone/>
                      <wp:docPr id="98" name="Frame9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57835" cy="175260"/>
                      <wp:effectExtent l="0" t="0" r="0" b="0"/>
                      <wp:wrapNone/>
                      <wp:docPr id="99" name="Frame9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0020" cy="175260"/>
                      <wp:effectExtent l="0" t="0" r="0" b="0"/>
                      <wp:wrapNone/>
                      <wp:docPr id="101" name="Frame10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07365" cy="175260"/>
                      <wp:effectExtent l="0" t="0" r="0" b="0"/>
                      <wp:wrapNone/>
                      <wp:docPr id="102" name="Frame102"/>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14935" cy="175260"/>
                      <wp:effectExtent l="0" t="0" r="0" b="0"/>
                      <wp:wrapNone/>
                      <wp:docPr id="104" name="Frame10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9745" cy="175260"/>
                      <wp:effectExtent l="0" t="0" r="0" b="0"/>
                      <wp:wrapNone/>
                      <wp:docPr id="105" name="Frame105"/>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350" cy="175260"/>
                      <wp:effectExtent l="0" t="0" r="0" b="0"/>
                      <wp:wrapNone/>
                      <wp:docPr id="107" name="Frame107"/>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13715" cy="175260"/>
                      <wp:effectExtent l="0" t="0" r="0" b="0"/>
                      <wp:wrapNone/>
                      <wp:docPr id="108" name="Frame108"/>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pPr>
            <w:r>
              <w:rPr/>
              <w:t>​</w:t>
            </w:r>
          </w:p>
        </w:tc>
      </w:tr>
      <w:tr>
        <w:trPr/>
        <w:tc>
          <w:tcPr>
            <w:tcW w:w="2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882" w:type="dxa"/>
            <w:tcBorders/>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Six months ended June 30, 2022</w:t>
            </w:r>
          </w:p>
        </w:tc>
        <w:tc>
          <w:tcPr>
            <w:tcW w:w="326" w:type="dxa"/>
            <w:tcBorders/>
            <w:vAlign w:val="center"/>
          </w:tcPr>
          <w:p>
            <w:pPr>
              <w:pStyle w:val="TableContents"/>
              <w:bidi w:val="0"/>
              <w:spacing w:before="0" w:after="0"/>
              <w:ind w:left="0" w:right="0" w:hanging="0"/>
              <w:jc w:val="left"/>
              <w:rPr/>
            </w:pPr>
            <w:r>
              <w:rPr/>
              <w:t>​</w:t>
            </w:r>
          </w:p>
        </w:tc>
        <w:tc>
          <w:tcPr>
            <w:tcW w:w="17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326" w:type="dxa"/>
            <w:tcBorders/>
            <w:vAlign w:val="center"/>
          </w:tcPr>
          <w:p>
            <w:pPr>
              <w:pStyle w:val="TableContents"/>
              <w:bidi w:val="0"/>
              <w:spacing w:before="0" w:after="0"/>
              <w:ind w:left="0" w:right="0" w:hanging="0"/>
              <w:jc w:val="left"/>
              <w:rPr/>
            </w:pPr>
            <w:r>
              <w:rPr/>
              <w:t>​</w:t>
            </w:r>
          </w:p>
        </w:tc>
        <w:tc>
          <w:tcPr>
            <w:tcW w:w="96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w:t>
            </w:r>
          </w:p>
        </w:tc>
        <w:tc>
          <w:tcPr>
            <w:tcW w:w="1019"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8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(loss) income</w:t>
            </w:r>
          </w:p>
        </w:tc>
        <w:tc>
          <w:tcPr>
            <w:tcW w:w="326" w:type="dxa"/>
            <w:tcBorders/>
            <w:vAlign w:val="center"/>
          </w:tcPr>
          <w:p>
            <w:pPr>
              <w:pStyle w:val="TableContents"/>
              <w:bidi w:val="0"/>
              <w:spacing w:before="0" w:after="0"/>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 (deficit)</w:t>
            </w:r>
          </w:p>
        </w:tc>
      </w:tr>
      <w:tr>
        <w:trPr/>
        <w:tc>
          <w:tcPr>
            <w:tcW w:w="288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70,828,226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2,123,606</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(24,282)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(2,097,957)</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1,438</w:t>
            </w:r>
          </w:p>
        </w:tc>
      </w:tr>
      <w:tr>
        <w:trPr/>
        <w:tc>
          <w:tcPr>
            <w:tcW w:w="288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Exercise of options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125,020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3,198</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3,198</w:t>
            </w:r>
          </w:p>
        </w:tc>
      </w:tr>
      <w:tr>
        <w:trPr/>
        <w:tc>
          <w:tcPr>
            <w:tcW w:w="288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stock vesting and issuance, net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461,380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pPr>
            <w:r>
              <w:rPr/>
              <w:t>—</w:t>
            </w:r>
          </w:p>
        </w:tc>
      </w:tr>
      <w:tr>
        <w:trPr/>
        <w:tc>
          <w:tcPr>
            <w:tcW w:w="288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an employee stock purchase plan</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91,263</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3,107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3,107</w:t>
            </w:r>
          </w:p>
        </w:tc>
      </w:tr>
      <w:tr>
        <w:trPr/>
        <w:tc>
          <w:tcPr>
            <w:tcW w:w="288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54,319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54,319</w:t>
            </w:r>
          </w:p>
        </w:tc>
      </w:tr>
      <w:tr>
        <w:trPr/>
        <w:tc>
          <w:tcPr>
            <w:tcW w:w="288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(278,813)</w:t>
            </w:r>
          </w:p>
        </w:tc>
        <w:tc>
          <w:tcPr>
            <w:tcW w:w="32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(278,813)</w:t>
            </w:r>
          </w:p>
        </w:tc>
      </w:tr>
      <w:tr>
        <w:trPr/>
        <w:tc>
          <w:tcPr>
            <w:tcW w:w="288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34,533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34,533</w:t>
            </w:r>
          </w:p>
        </w:tc>
      </w:tr>
      <w:tr>
        <w:trPr/>
        <w:tc>
          <w:tcPr>
            <w:tcW w:w="2882"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June 30, 2022</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71,505,889</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2,184,230</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10,251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(2,376,770)</w:t>
            </w:r>
          </w:p>
        </w:tc>
        <w:tc>
          <w:tcPr>
            <w:tcW w:w="326"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(182,218)</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See accompanying unaudited notes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18"/>
        </w:rPr>
      </w:pPr>
      <w:bookmarkStart w:id="758" w:name="_f3d8af69_4b94_4b86_a481_4715ad3102e4"/>
      <w:bookmarkEnd w:id="758"/>
      <w:r>
        <w:rPr>
          <w:rFonts w:ascii="Times New Roman;Times;serif" w:hAnsi="Times New Roman;Times;serif"/>
          <w:b/>
          <w:sz w:val="18"/>
        </w:rPr>
        <w:t>PTC Therapeutics, Inc.</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Consolidated Statements of Cash Flows (unaudited)</w:t>
      </w:r>
    </w:p>
    <w:p>
      <w:pPr>
        <w:pStyle w:val="TextBody"/>
        <w:bidi w:val="0"/>
        <w:spacing w:before="0" w:after="240"/>
        <w:ind w:left="0" w:right="0" w:hanging="0"/>
        <w:jc w:val="both"/>
        <w:rPr>
          <w:rFonts w:ascii="Times New Roman;Times;serif" w:hAnsi="Times New Roman;Times;serif"/>
          <w:b/>
          <w:sz w:val="18"/>
        </w:rPr>
      </w:pPr>
      <w:r>
        <w:rPr>
          <w:rFonts w:ascii="Times New Roman;Times;serif" w:hAnsi="Times New Roman;Times;serif"/>
          <w:b/>
          <w:sz w:val="18"/>
        </w:rPr>
        <w:t>In thousands</w:t>
      </w:r>
    </w:p>
    <w:p>
      <w:pPr>
        <w:pStyle w:val="Normal"/>
        <w:bidi w:val="0"/>
        <w:spacing w:before="0" w:after="0"/>
        <w:jc w:val="left"/>
        <w:rPr>
          <w:sz w:val="4"/>
          <w:szCs w:val="4"/>
        </w:rPr>
      </w:pPr>
      <w:r>
        <w:rPr>
          <w:sz w:val="4"/>
          <w:szCs w:val="4"/>
        </w:rPr>
      </w:r>
      <w:bookmarkStart w:id="759" w:name="Tc_1q6hjjyGAke-hXi_XMN8Wg_60_0"/>
      <w:bookmarkStart w:id="760" w:name="Tc_9o7dEVSlWk28gMMUkDy7oQ_59_6"/>
      <w:bookmarkStart w:id="761" w:name="Tc_aOH5xCq2VU2LHORlddjroQ_59_0"/>
      <w:bookmarkStart w:id="762" w:name="Tc_m_wUhPASskug9Vkq9OaDVg_58_6"/>
      <w:bookmarkStart w:id="763" w:name="Tc_xyb6gzcVWEGIIVaXxWxpYw_58_0"/>
      <w:bookmarkStart w:id="764" w:name="Tc_tDKnLX1Zh0S7NiUykgEVTA_57_0"/>
      <w:bookmarkStart w:id="765" w:name="Tc_t9TmPtpclkma1Dggj66joA_56_3"/>
      <w:bookmarkStart w:id="766" w:name="Tc_CGmTMcd9GkyGYbXcJtxMVA_56_0"/>
      <w:bookmarkStart w:id="767" w:name="Tc_UMmhavJKF0qhKdv8KRg6Kw_55_5"/>
      <w:bookmarkStart w:id="768" w:name="Tc_jnDwkZChOkeLuPyNxFdMzQ_55_2"/>
      <w:bookmarkStart w:id="769" w:name="Tc_AoXPIvf14UGz8hV2uuET3w_55_0"/>
      <w:bookmarkStart w:id="770" w:name="Tc_5v6Kxoscvk-4mDE2VYgmHg_54_0"/>
      <w:bookmarkStart w:id="771" w:name="Tc_2c2ES4AUNUWwQYBjV6ELmg_53_0"/>
      <w:bookmarkStart w:id="772" w:name="Tc_tW2Gq-6ycUiaw3cSX1saFg_52_5"/>
      <w:bookmarkStart w:id="773" w:name="Tc_DujEwkqfz0ioR5LQVkj42Q_52_2"/>
      <w:bookmarkStart w:id="774" w:name="Tc_A-wnNOJxpUuN28QVhsDs3g_52_0"/>
      <w:bookmarkStart w:id="775" w:name="Tc_87ok3NPXyUy1sZKFWSPrtw_51_0"/>
      <w:bookmarkStart w:id="776" w:name="Tc_JNYpHzgRnkW7Opoe55t5nw_50_5"/>
      <w:bookmarkStart w:id="777" w:name="Tc_OJp-OqpGNk-oss6FbmxSxw_50_2"/>
      <w:bookmarkStart w:id="778" w:name="Tc_tPQtsN1Ux0aX4_ZItgaKzA_50_0"/>
      <w:bookmarkStart w:id="779" w:name="Tc_stwMlrDS3E-HYRgFCHuFKA_49_0"/>
      <w:bookmarkStart w:id="780" w:name="Tc_DkjRShPDykWJuqsmtjW_nw_48_0"/>
      <w:bookmarkStart w:id="781" w:name="Tc_fIVnxvXr7kKaTRYiIQa-PQ_47_0"/>
      <w:bookmarkStart w:id="782" w:name="Tc_9LaM9DL-GUSIaM-6-kZAfA_46_5"/>
      <w:bookmarkStart w:id="783" w:name="Tc_U5m-yJLNlUyl7gy-jlmr3g_46_2"/>
      <w:bookmarkStart w:id="784" w:name="Tc_stA7VhuhfUOWt2mOha6WvQ_46_0"/>
      <w:bookmarkStart w:id="785" w:name="Tc_QN2hRHzy3E6dVWmyP38zfQ_45_0"/>
      <w:bookmarkStart w:id="786" w:name="Tc_t9d6ZNzlpEupp5Uzuu2SDw_44_6"/>
      <w:bookmarkStart w:id="787" w:name="Tc_EOzBJwnlTUeJOOAvNcoP5Q_44_0"/>
      <w:bookmarkStart w:id="788" w:name="Tc_b--LhDloBUySmDQ1q0B_RA_43_0"/>
      <w:bookmarkStart w:id="789" w:name="Tc_7m421VrSMkeANeAQI1-EWw_42_5"/>
      <w:bookmarkStart w:id="790" w:name="Tc_rKNmOB7mOEit6MRZ-ENibg_42_2"/>
      <w:bookmarkStart w:id="791" w:name="Tc_k0ZPcbve1E23ACusqPTflw_42_0"/>
      <w:bookmarkStart w:id="792" w:name="Tc_6bO_uP13RkaXAr3dV8t1BQ_41_0"/>
      <w:bookmarkStart w:id="793" w:name="Tc_tpgIultJkEmC4R2FUGC9Jg_40_5"/>
      <w:bookmarkStart w:id="794" w:name="Tc_ev0ZeS8pCU68oOyib0JElA_40_2"/>
      <w:bookmarkStart w:id="795" w:name="Tc_JJljvoeVR0GjasfKjCbZiw_40_0"/>
      <w:bookmarkStart w:id="796" w:name="Tc_vPuOPwY_s0ymXr1VOsypxw_39_0"/>
      <w:bookmarkStart w:id="797" w:name="Tc_O-gRGfKogkqPtnPYkyMKGQ_38_6"/>
      <w:bookmarkStart w:id="798" w:name="Tc_51aYtUxqbk6qaV__bKjQGQ_38_0"/>
      <w:bookmarkStart w:id="799" w:name="Tc_c5Ye3sqlYk22rc6zJo1DoA_37_0"/>
      <w:bookmarkStart w:id="800" w:name="Tc_8yAL1KJJKUOVnNNvwwPFfA_36_0"/>
      <w:bookmarkStart w:id="801" w:name="Tc_RI5I4hKuZk6dAt-DKH838g_35_6"/>
      <w:bookmarkStart w:id="802" w:name="Tc_hMx05lvZnki4TomZNA-4cw_35_0"/>
      <w:bookmarkStart w:id="803" w:name="Tc_C1J_4WnYnEalyZud9A_h3Q_34_3"/>
      <w:bookmarkStart w:id="804" w:name="Tc_IOrJQJz2iU67bI8-voplYg_34_0"/>
      <w:bookmarkStart w:id="805" w:name="Tc_plHDCnefJUmGKFtlsAnBRw_33_5"/>
      <w:bookmarkStart w:id="806" w:name="Tc_I54QLzWwTkaRiTXB1AL4gg_33_2"/>
      <w:bookmarkStart w:id="807" w:name="Tc_2HpvpivLZUOLKabhivdIHA_33_0"/>
      <w:bookmarkStart w:id="808" w:name="Tc_x56Ewum4pkWdG09zDJPJKQ_32_0"/>
      <w:bookmarkStart w:id="809" w:name="Tc_nlWN5GxwyESthd8mFMHeOg_31_5"/>
      <w:bookmarkStart w:id="810" w:name="Tc_GmFbUptgFUmuHCN7L-KKVw_31_2"/>
      <w:bookmarkStart w:id="811" w:name="Tc_boQ5I153AEuTwobFsFyqzA_31_0"/>
      <w:bookmarkStart w:id="812" w:name="Tc_KVNXYe30FUSgRJt7Pc-AWA_30_6"/>
      <w:bookmarkStart w:id="813" w:name="Tc_DyxqU9tsEE-FeCrts29qHA_30_0"/>
      <w:bookmarkStart w:id="814" w:name="Tc_9sIG1V6wO0WNvnlSGpuVEA_29_0"/>
      <w:bookmarkStart w:id="815" w:name="Tc_3J1gKKJquEy40Ao-8Fv0yA_28_0"/>
      <w:bookmarkStart w:id="816" w:name="Tc_rd4bZCbe3Eeh71rleSVhmQ_27_0"/>
      <w:bookmarkStart w:id="817" w:name="Tc_WKBC1SpXpE-X4a0qcLfQ7A_26_0"/>
      <w:bookmarkStart w:id="818" w:name="Tc_GEvh4P6xskKF6C-2P1PxKg_25_0"/>
      <w:bookmarkStart w:id="819" w:name="Tc_jyLfB4GwLUSWg_z2pkTeXg_24_0"/>
      <w:bookmarkStart w:id="820" w:name="Tc_rTtjCiggKkSN0MQqa8pW3A_23_0"/>
      <w:bookmarkStart w:id="821" w:name="Tc_vcNVnG1cQU2PmGurQrRqyg_22_0"/>
      <w:bookmarkStart w:id="822" w:name="Tc_vE-EJ9tRxUuwKVyhq-BjyQ_21_0"/>
      <w:bookmarkStart w:id="823" w:name="Tc_-MIMj3CeRU6JGXP9uERdDg_20_0"/>
      <w:bookmarkStart w:id="824" w:name="Tc_W2ogs_PdNkm5Of4g5c_krg_19_0"/>
      <w:bookmarkStart w:id="825" w:name="Tc_A83zhQeWuEa87kqaxFl8GA_18_6"/>
      <w:bookmarkStart w:id="826" w:name="Tc_pdOpAQEsTkSCVJti_Caukw_18_0"/>
      <w:bookmarkStart w:id="827" w:name="Tc_vPqudxRMmEKLPVCQWGFrFQ_17_0"/>
      <w:bookmarkStart w:id="828" w:name="Tc_JZBSzyczx0Smb-Gxaf-UaQ_16_6"/>
      <w:bookmarkStart w:id="829" w:name="Tc_VSdpm1k3mkOTsSODdZJMvA_16_0"/>
      <w:bookmarkStart w:id="830" w:name="Tc_7kkuA2qEy02kPnsBjKdVFQ_15_6"/>
      <w:bookmarkStart w:id="831" w:name="Tc_EGVc85Ph7E2A6JhmQVJpnQ_15_0"/>
      <w:bookmarkStart w:id="832" w:name="Tc_KiXmrPfgdE-pm1dNABA-sg_14_0"/>
      <w:bookmarkStart w:id="833" w:name="Tc_3-425sLk70GgjxXyamc_hw_13_0"/>
      <w:bookmarkStart w:id="834" w:name="Tc_cKQr59x4IU2tVOOM7gZcrA_12_0"/>
      <w:bookmarkStart w:id="835" w:name="Tc_QUXZhURQqUi_u2tviMoHEQ_11_0"/>
      <w:bookmarkStart w:id="836" w:name="Tc_LVAhNAC0T0y3KwPmnNBABQ_10_6"/>
      <w:bookmarkStart w:id="837" w:name="Tc_agPmq6XqFUSMmrQbAIMbhQ_10_0"/>
      <w:bookmarkStart w:id="838" w:name="Tc_aXpYm-ItgEuxRqQJAumy2Q_9_0"/>
      <w:bookmarkStart w:id="839" w:name="Tc_fsj1GCYBVUuj7P5M2yAqCw_8_0"/>
      <w:bookmarkStart w:id="840" w:name="Tc_hLqT_b8Kt02_6any5fQNGA_7_0"/>
      <w:bookmarkStart w:id="841" w:name="Tc_yFqTDrBA8kGbRqJ0SaJKCw_6_0"/>
      <w:bookmarkStart w:id="842" w:name="Tc_Bn-YOC95dkewHviFKAa8lg_5_0"/>
      <w:bookmarkStart w:id="843" w:name="Tc_W8sjYoqTd0exNXKJFkHQcQ_4_5"/>
      <w:bookmarkStart w:id="844" w:name="Tc_5AnXDNWekEqn73-NTJ2_UA_4_2"/>
      <w:bookmarkStart w:id="845" w:name="Tc_22uy7_IcsUC3QdcYJOwS4Q_4_0"/>
      <w:bookmarkStart w:id="846" w:name="Tc_K0NEYocuWUijdN87_R61GA_3_0"/>
      <w:bookmarkStart w:id="847" w:name="Tc_sOdbErmEWUi6Cc9NV1gKAQ_2_5"/>
      <w:bookmarkStart w:id="848" w:name="Tc_uq9v8uC3eEuyuBUzaMET_g_2_2"/>
      <w:bookmarkStart w:id="849" w:name="Tc_xKNRz2PFW0OxsR_XLgYQvg_1_2"/>
      <w:bookmarkStart w:id="850" w:name="_5ae8736e_c518_4ceb_b507_fe6f196996bc"/>
      <w:bookmarkStart w:id="851" w:name="Tc_1q6hjjyGAke-hXi_XMN8Wg_60_0"/>
      <w:bookmarkStart w:id="852" w:name="Tc_9o7dEVSlWk28gMMUkDy7oQ_59_6"/>
      <w:bookmarkStart w:id="853" w:name="Tc_aOH5xCq2VU2LHORlddjroQ_59_0"/>
      <w:bookmarkStart w:id="854" w:name="Tc_m_wUhPASskug9Vkq9OaDVg_58_6"/>
      <w:bookmarkStart w:id="855" w:name="Tc_xyb6gzcVWEGIIVaXxWxpYw_58_0"/>
      <w:bookmarkStart w:id="856" w:name="Tc_tDKnLX1Zh0S7NiUykgEVTA_57_0"/>
      <w:bookmarkStart w:id="857" w:name="Tc_t9TmPtpclkma1Dggj66joA_56_3"/>
      <w:bookmarkStart w:id="858" w:name="Tc_CGmTMcd9GkyGYbXcJtxMVA_56_0"/>
      <w:bookmarkStart w:id="859" w:name="Tc_UMmhavJKF0qhKdv8KRg6Kw_55_5"/>
      <w:bookmarkStart w:id="860" w:name="Tc_jnDwkZChOkeLuPyNxFdMzQ_55_2"/>
      <w:bookmarkStart w:id="861" w:name="Tc_AoXPIvf14UGz8hV2uuET3w_55_0"/>
      <w:bookmarkStart w:id="862" w:name="Tc_5v6Kxoscvk-4mDE2VYgmHg_54_0"/>
      <w:bookmarkStart w:id="863" w:name="Tc_2c2ES4AUNUWwQYBjV6ELmg_53_0"/>
      <w:bookmarkStart w:id="864" w:name="Tc_tW2Gq-6ycUiaw3cSX1saFg_52_5"/>
      <w:bookmarkStart w:id="865" w:name="Tc_DujEwkqfz0ioR5LQVkj42Q_52_2"/>
      <w:bookmarkStart w:id="866" w:name="Tc_A-wnNOJxpUuN28QVhsDs3g_52_0"/>
      <w:bookmarkStart w:id="867" w:name="Tc_87ok3NPXyUy1sZKFWSPrtw_51_0"/>
      <w:bookmarkStart w:id="868" w:name="Tc_JNYpHzgRnkW7Opoe55t5nw_50_5"/>
      <w:bookmarkStart w:id="869" w:name="Tc_OJp-OqpGNk-oss6FbmxSxw_50_2"/>
      <w:bookmarkStart w:id="870" w:name="Tc_tPQtsN1Ux0aX4_ZItgaKzA_50_0"/>
      <w:bookmarkStart w:id="871" w:name="Tc_stwMlrDS3E-HYRgFCHuFKA_49_0"/>
      <w:bookmarkStart w:id="872" w:name="Tc_DkjRShPDykWJuqsmtjW_nw_48_0"/>
      <w:bookmarkStart w:id="873" w:name="Tc_fIVnxvXr7kKaTRYiIQa-PQ_47_0"/>
      <w:bookmarkStart w:id="874" w:name="Tc_9LaM9DL-GUSIaM-6-kZAfA_46_5"/>
      <w:bookmarkStart w:id="875" w:name="Tc_U5m-yJLNlUyl7gy-jlmr3g_46_2"/>
      <w:bookmarkStart w:id="876" w:name="Tc_stA7VhuhfUOWt2mOha6WvQ_46_0"/>
      <w:bookmarkStart w:id="877" w:name="Tc_QN2hRHzy3E6dVWmyP38zfQ_45_0"/>
      <w:bookmarkStart w:id="878" w:name="Tc_t9d6ZNzlpEupp5Uzuu2SDw_44_6"/>
      <w:bookmarkStart w:id="879" w:name="Tc_EOzBJwnlTUeJOOAvNcoP5Q_44_0"/>
      <w:bookmarkStart w:id="880" w:name="Tc_b--LhDloBUySmDQ1q0B_RA_43_0"/>
      <w:bookmarkStart w:id="881" w:name="Tc_7m421VrSMkeANeAQI1-EWw_42_5"/>
      <w:bookmarkStart w:id="882" w:name="Tc_rKNmOB7mOEit6MRZ-ENibg_42_2"/>
      <w:bookmarkStart w:id="883" w:name="Tc_k0ZPcbve1E23ACusqPTflw_42_0"/>
      <w:bookmarkStart w:id="884" w:name="Tc_6bO_uP13RkaXAr3dV8t1BQ_41_0"/>
      <w:bookmarkStart w:id="885" w:name="Tc_tpgIultJkEmC4R2FUGC9Jg_40_5"/>
      <w:bookmarkStart w:id="886" w:name="Tc_ev0ZeS8pCU68oOyib0JElA_40_2"/>
      <w:bookmarkStart w:id="887" w:name="Tc_JJljvoeVR0GjasfKjCbZiw_40_0"/>
      <w:bookmarkStart w:id="888" w:name="Tc_vPuOPwY_s0ymXr1VOsypxw_39_0"/>
      <w:bookmarkStart w:id="889" w:name="Tc_O-gRGfKogkqPtnPYkyMKGQ_38_6"/>
      <w:bookmarkStart w:id="890" w:name="Tc_51aYtUxqbk6qaV__bKjQGQ_38_0"/>
      <w:bookmarkStart w:id="891" w:name="Tc_c5Ye3sqlYk22rc6zJo1DoA_37_0"/>
      <w:bookmarkStart w:id="892" w:name="Tc_8yAL1KJJKUOVnNNvwwPFfA_36_0"/>
      <w:bookmarkStart w:id="893" w:name="Tc_RI5I4hKuZk6dAt-DKH838g_35_6"/>
      <w:bookmarkStart w:id="894" w:name="Tc_hMx05lvZnki4TomZNA-4cw_35_0"/>
      <w:bookmarkStart w:id="895" w:name="Tc_C1J_4WnYnEalyZud9A_h3Q_34_3"/>
      <w:bookmarkStart w:id="896" w:name="Tc_IOrJQJz2iU67bI8-voplYg_34_0"/>
      <w:bookmarkStart w:id="897" w:name="Tc_plHDCnefJUmGKFtlsAnBRw_33_5"/>
      <w:bookmarkStart w:id="898" w:name="Tc_I54QLzWwTkaRiTXB1AL4gg_33_2"/>
      <w:bookmarkStart w:id="899" w:name="Tc_2HpvpivLZUOLKabhivdIHA_33_0"/>
      <w:bookmarkStart w:id="900" w:name="Tc_x56Ewum4pkWdG09zDJPJKQ_32_0"/>
      <w:bookmarkStart w:id="901" w:name="Tc_nlWN5GxwyESthd8mFMHeOg_31_5"/>
      <w:bookmarkStart w:id="902" w:name="Tc_GmFbUptgFUmuHCN7L-KKVw_31_2"/>
      <w:bookmarkStart w:id="903" w:name="Tc_boQ5I153AEuTwobFsFyqzA_31_0"/>
      <w:bookmarkStart w:id="904" w:name="Tc_KVNXYe30FUSgRJt7Pc-AWA_30_6"/>
      <w:bookmarkStart w:id="905" w:name="Tc_DyxqU9tsEE-FeCrts29qHA_30_0"/>
      <w:bookmarkStart w:id="906" w:name="Tc_9sIG1V6wO0WNvnlSGpuVEA_29_0"/>
      <w:bookmarkStart w:id="907" w:name="Tc_3J1gKKJquEy40Ao-8Fv0yA_28_0"/>
      <w:bookmarkStart w:id="908" w:name="Tc_rd4bZCbe3Eeh71rleSVhmQ_27_0"/>
      <w:bookmarkStart w:id="909" w:name="Tc_WKBC1SpXpE-X4a0qcLfQ7A_26_0"/>
      <w:bookmarkStart w:id="910" w:name="Tc_GEvh4P6xskKF6C-2P1PxKg_25_0"/>
      <w:bookmarkStart w:id="911" w:name="Tc_jyLfB4GwLUSWg_z2pkTeXg_24_0"/>
      <w:bookmarkStart w:id="912" w:name="Tc_rTtjCiggKkSN0MQqa8pW3A_23_0"/>
      <w:bookmarkStart w:id="913" w:name="Tc_vcNVnG1cQU2PmGurQrRqyg_22_0"/>
      <w:bookmarkStart w:id="914" w:name="Tc_vE-EJ9tRxUuwKVyhq-BjyQ_21_0"/>
      <w:bookmarkStart w:id="915" w:name="Tc_-MIMj3CeRU6JGXP9uERdDg_20_0"/>
      <w:bookmarkStart w:id="916" w:name="Tc_W2ogs_PdNkm5Of4g5c_krg_19_0"/>
      <w:bookmarkStart w:id="917" w:name="Tc_A83zhQeWuEa87kqaxFl8GA_18_6"/>
      <w:bookmarkStart w:id="918" w:name="Tc_pdOpAQEsTkSCVJti_Caukw_18_0"/>
      <w:bookmarkStart w:id="919" w:name="Tc_vPqudxRMmEKLPVCQWGFrFQ_17_0"/>
      <w:bookmarkStart w:id="920" w:name="Tc_JZBSzyczx0Smb-Gxaf-UaQ_16_6"/>
      <w:bookmarkStart w:id="921" w:name="Tc_VSdpm1k3mkOTsSODdZJMvA_16_0"/>
      <w:bookmarkStart w:id="922" w:name="Tc_7kkuA2qEy02kPnsBjKdVFQ_15_6"/>
      <w:bookmarkStart w:id="923" w:name="Tc_EGVc85Ph7E2A6JhmQVJpnQ_15_0"/>
      <w:bookmarkStart w:id="924" w:name="Tc_KiXmrPfgdE-pm1dNABA-sg_14_0"/>
      <w:bookmarkStart w:id="925" w:name="Tc_3-425sLk70GgjxXyamc_hw_13_0"/>
      <w:bookmarkStart w:id="926" w:name="Tc_cKQr59x4IU2tVOOM7gZcrA_12_0"/>
      <w:bookmarkStart w:id="927" w:name="Tc_QUXZhURQqUi_u2tviMoHEQ_11_0"/>
      <w:bookmarkStart w:id="928" w:name="Tc_LVAhNAC0T0y3KwPmnNBABQ_10_6"/>
      <w:bookmarkStart w:id="929" w:name="Tc_agPmq6XqFUSMmrQbAIMbhQ_10_0"/>
      <w:bookmarkStart w:id="930" w:name="Tc_aXpYm-ItgEuxRqQJAumy2Q_9_0"/>
      <w:bookmarkStart w:id="931" w:name="Tc_fsj1GCYBVUuj7P5M2yAqCw_8_0"/>
      <w:bookmarkStart w:id="932" w:name="Tc_hLqT_b8Kt02_6any5fQNGA_7_0"/>
      <w:bookmarkStart w:id="933" w:name="Tc_yFqTDrBA8kGbRqJ0SaJKCw_6_0"/>
      <w:bookmarkStart w:id="934" w:name="Tc_Bn-YOC95dkewHviFKAa8lg_5_0"/>
      <w:bookmarkStart w:id="935" w:name="Tc_W8sjYoqTd0exNXKJFkHQcQ_4_5"/>
      <w:bookmarkStart w:id="936" w:name="Tc_5AnXDNWekEqn73-NTJ2_UA_4_2"/>
      <w:bookmarkStart w:id="937" w:name="Tc_22uy7_IcsUC3QdcYJOwS4Q_4_0"/>
      <w:bookmarkStart w:id="938" w:name="Tc_K0NEYocuWUijdN87_R61GA_3_0"/>
      <w:bookmarkStart w:id="939" w:name="Tc_sOdbErmEWUi6Cc9NV1gKAQ_2_5"/>
      <w:bookmarkStart w:id="940" w:name="Tc_uq9v8uC3eEuyuBUzaMET_g_2_2"/>
      <w:bookmarkStart w:id="941" w:name="Tc_xKNRz2PFW0OxsR_XLgYQvg_1_2"/>
      <w:bookmarkStart w:id="942" w:name="_5ae8736e_c518_4ceb_b507_fe6f196996bc"/>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tbl>
      <w:tblPr>
        <w:tblW w:w="6856" w:type="dxa"/>
        <w:jc w:val="left"/>
        <w:tblInd w:w="0" w:type="dxa"/>
        <w:tblLayout w:type="fixed"/>
        <w:tblCellMar>
          <w:top w:w="0" w:type="dxa"/>
          <w:left w:w="0" w:type="dxa"/>
          <w:bottom w:w="0" w:type="dxa"/>
          <w:right w:w="0" w:type="dxa"/>
        </w:tblCellMar>
      </w:tblPr>
      <w:tblGrid>
        <w:gridCol w:w="4336"/>
        <w:gridCol w:w="326"/>
        <w:gridCol w:w="181"/>
        <w:gridCol w:w="676"/>
        <w:gridCol w:w="326"/>
        <w:gridCol w:w="181"/>
        <w:gridCol w:w="676"/>
        <w:gridCol w:w="154"/>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753360" cy="175260"/>
                      <wp:effectExtent l="0" t="0" r="0" b="0"/>
                      <wp:wrapNone/>
                      <wp:docPr id="109" name="Frame109"/>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14935" cy="175260"/>
                      <wp:effectExtent l="0" t="0" r="0" b="0"/>
                      <wp:wrapNone/>
                      <wp:docPr id="111" name="Frame11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9260" cy="175260"/>
                      <wp:effectExtent l="0" t="0" r="0" b="0"/>
                      <wp:wrapNone/>
                      <wp:docPr id="112"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14935" cy="175260"/>
                      <wp:effectExtent l="0" t="0" r="0" b="0"/>
                      <wp:wrapNone/>
                      <wp:docPr id="114" name="Frame1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29260" cy="175260"/>
                      <wp:effectExtent l="0" t="0" r="0" b="0"/>
                      <wp:wrapNone/>
                      <wp:docPr id="115"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7790" cy="175260"/>
                      <wp:effectExtent l="0" t="0" r="0" b="0"/>
                      <wp:wrapNone/>
                      <wp:docPr id="116" name="Frame11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1"/>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(337,842)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(278,813)</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93,830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55,494</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operating lease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5,674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4,295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royalty revenue related to sale of future royalties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(29,059)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(17,482)</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interest expense on liability related to sale of future royalties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37,753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37,825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Intangible asset impairment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217,800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 in valuation of contingent consideration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(126,500)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(26,900)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loss (gain) on ClearPoint Equity Investments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1,112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(2,369)</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loss (gain) on ClearPoint convertible debt security</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1,539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(1,995)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(gain) loss on marketable securities- equity investments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(4,364)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11,356</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Realized loss for the sale of Clearpoint Equity Investment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Non-cash stock consideration, milestone payment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29,570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Disposal of asset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Deferred income taxes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(50,907)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(discounts) premiums on investments,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1,540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Amortization of debt issuance costs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1,001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935</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58,186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54,319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foreign currency transaction (gains) losses, net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(13,332)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36,359</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Inventory, net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(9,795)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63,951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16,431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Trade and royalty receivables, net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(18,022)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(29,549)</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Deposits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6,936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Accounts payable and accrued expenses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32,437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(9,060)</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(4,167)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Deferred revenue</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(1,351)</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(43,611)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(152,646)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Purchases of fixed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(16,515)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(18,012)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Purchases of marketable securities- available for sale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(40,429)</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Purchases of marketable securities- equity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(18,159)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Sale and redemption of marketable securities- available for sale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21,544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257,534</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Sale and redemption of marketable securities- equity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4,249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3,630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Sale and redemption of ClearPoint Equity Investments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Acquisition of product rights and licenses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(46,436)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(81,426)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cash (used in) provided by investing activities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(52,723)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121,297</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exercise of options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20,325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3,198</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Proceeds from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3,805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3,107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Debt issuance costs related to senior secured term loan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Payment of finance lease principal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(1,379)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(1,276)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cash provided by financing activities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22,554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5,029</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Effect of exchange rate changes on cash</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3,347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(71,429)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(22,973)</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 and restricted cash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295,925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197,218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 and restricted cash end of period</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224,496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174,245</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Supplemental disclosure of cash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paid for interest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22,310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8,273</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Cash paid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9,196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2,949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Supplemental disclosure of non-cash investing and financing activity</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gain (loss) on marketable securities,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(3,069)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Right-of-use assets obtained in exchange for operating lease obligations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68,642</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Acquisition of product rights and licenses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36,879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26,687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Debt issuance costs related to senior secured term loan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 expenditures unpaid at the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Milestone payable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50,000</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See accompanying unaudited notes.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43" w:name="_6aeb8a50_5162_42a0_a5e7_6863f9297f8e"/>
      <w:bookmarkEnd w:id="943"/>
      <w:r>
        <w:rPr>
          <w:rFonts w:ascii="Times New Roman;Times;serif" w:hAnsi="Times New Roman;Times;serif"/>
          <w:sz w:val="20"/>
        </w:rPr>
        <w:t>PTC Therapeutics,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 thousands (except share and per share amounts unless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PTC Therapeutics, Inc. (the “Company” or “PTC”) is a science-driven global biopharmaceutical company focused on the discovery, development and commercialization of clinically differentiated medicines that provide benefits to patients with rare disorders. PTC’s ability to innovate to identify new therapies and to globally commercialize products is the foundation that drives investment in a robust and diversified pipeline of transformative medicines. PTC’s mission is to provide access to best-in-class treatments for patients who have little to no treatment options. PTC’s strategy is to leverage its strong scientific and clinical expertise and global commercial infrastructure to bring therapies to patients.  PTC believes that this allows it to maximize value for all of its stakeholders.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PTC has a portfolio pipeline that includes several commercial products and product candidates in various stages of development, including clinical, pre-clinical and research and discovery stages, focused on the development of new treatments for multiple therapeutic areas for rare diseases relating to neurology, metabolism and oncology.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two products, Translarna™ (ataluren) and Emflaza® (deflazacort), for the treatment of Duchenne muscular dystrophy (“DMD”), a rare, life threatening disorder. Translarna has marketing authorization in the European Economic Area (the “EEA”) for the treatment of nonsense mutation Duchenne muscular dystrophy (“nmDMD”) in ambulatory patients aged 2 years and older and in Russia for the treatment of nmDMD in patients aged two years and older. Translarna also has marketing authorization in Brazil for the treatment of nmDMD in ambulatory patients two years and older and for continued treatment of patients that become non-ambulatory. In July 2020, the European Commission approved the removal of the statement “efficacy has not been demonstrated in non-ambulatory patients” from the indication statement for Translarna. Emflaza is approved in the United States for the treatment of DMD in patients two years and older.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marketing authorization for Translarna in the EEA is subject to annual review and renewal by the European Commission following reassessment by the European Medicines Agency (“EMA”) of the benefit-risk balance of the authorization, which the Company refers to as the annual EMA reassessment. In June 2022, the European Commission renewed the Company’s marketing authorization, making it effective, unless extended, through August 5, 2023. In September 2022, the Company submitted a Type II variation to the EMA to support conversion of the conditional marketing authorization for Translarna to a standard marketing authorization, which included a report on the placebo-controlled trial of Study 041 and data from the open-label extension. In February 2023, the Company also submitted an annual marketing authorization renewal request to the EMA. The EMA has combined the regulatory procedures, and the Company’s conditional marketing authorization for Translarna has been extended pending the completion of the Type II variation process. The Company expects an opinion from the Committee for Medicinal Products for Human Use (“CHMP”) regarding its Type II variation submission and the annual renewal in the third quarter of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Translarna is an investigational new drug in the United States. Following the Company’s announcement of top-line results from the placebo-controlled trial of Study 041 in June 2022, the Company submitted a meeting request to the U.S. Food and Drug Administration (“FDA”) to gain clarity on the regulatory pathway for a potential re-submission of a New Drug Application (“NDA”) for Translarna. The FDA provided initial written feedback that Study 041 does not provide substantial evidence of effectiveness to support an NDA re-submission. The Company then had an informal meeting with the FDA, during which the Company discussed the potential path to an NDA re-submission for Translarna. Based on the meeting discussion, the Company is preparing to request an additional Type C meeting with the FDA to review the totality of data collected to date, including dystrophin and other mechanistic data as well as additional analyses that could support the benefit of Translarna.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developed Upstaza (eladocagene exuparvovec), a gene therapy used for the treatment of Aromatic L-Amino Acid Decarboxylase (“AADC”) deficiency (“AADC deficiency”), a rare central nervous system (“CNS”) disorder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arising from reductions in the enzyme AADC that results from mutations in the dopa decarboxylase gene. In July 2022, the European Commission approved Upstaza for the treatment of AADC deficiency for patients 18 months and older within the EEA. In November 2022, the Medicines and Healthcare Products Regulatory Agency approved Upstaza for the treatment of AADC deficiency for patients 18 months and older within the United Kingdom. The Company is also preparing and anticipates submitting a biologics license application (“BLA”) to the FDA for Upstaza for the treatment of AADC deficiency in the United States in the third quarter of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holds the rights for the commercialization of Tegsedi® (inotersen) and Waylivra® (volanesorsen) for the treatment of rare diseases in countries in Latin America and the Caribbean pursuant to the Collaboration and License Agreement (the “Tegsedi-Waylivra Agreement”), dated August 1, 2018, by and between the Company and Akcea Therapeutics, Inc. (“Akcea”), a subsidiary of Ionis Pharmaceuticals, Inc. Tegsedi has received marketing authorization in the United States, the European Union (the “EU”) and Brazil for the treatment of stage 1 or stage 2 polyneuropathy in adult patients with hereditary transthyretin amyloidosis (“hATTR amyloidosis”). The Company began to make commercial sales of Tegsedi for the treatment of hATTR amyloidosis in Brazil in the second quarter of 2022 and it continues to make Tegsedi available in certain other countries within Latin America and the Caribbean through early access programs (“EAP Programs”). In August 2021, ANVISA, the Brazilian health regulatory authority, approved Waylivra as the first treatment for familial chylomicronemia syndrome (“FCS”) in Brazil and the Company began to make commercial sales of Waylivra in Brazil in the third quarter of 2022 while continuing to make Waylivra available in certain other countries within Latin America and the Caribbean through EAP Programs. In December 2022, ANVISA approved Waylivra for the treatment of familial partial lipodystrophy (“FPL”). Waylivra has also received marketing authorization in the EU for the treatment of FCS.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has a spinal muscular atrophy (“SMA”) collaboration with F. Hoffman-La Roche Ltd and Hoffman-La Roche Inc. (referred to collectively as “Roche”) and the Spinal Muscular Atrophy Foundation (“SMA Foundation”). The SMA program has one approved product, Evrysdi® (risdiplam), which was approved by the FDA in August 2020 for the treatment of SMA in adults and children two months and older and by the European Commission in March 2021 for the treatment of 5q SMA in patients two months and older with a clinical diagnosis of SMA Type 1, Type 2 or Type 3 or with one to four SMN2 copies. Evrysdi also received marketing authorization for the treatment of SMA in Brazil in October 2020 and Japan in June 2021. In May 2022, the FDA approved a label expansion for Evrysdi to include infants under two months old with SMA. In July 2023, the CHMP adopted a positive opinion for the extension of the Evrysdi marketing authorization to include infants under two months old in the EU and the Company expects a final decision regarding the approval from the European Commission later in 2023. In addition to the Company’s SMA program, the Company’s splicing platform also includes PTC518, which is being developed for the treatment of Huntington’s disease (“HD”). The Company initiated a Phase 2 study of PTC518 for the treatment of HD in the first quarter of 2022, which consists of an initial 12-week placebo-controlled phase focused on safety, pharmacology and pharmacodynamic effects followed by a nine-month placebo-controlled phase focused on PTC518 biomarker effect. In June 2023, the Company announced interim data from the 12-week placebo-controlled phase. Enrollment in the Phase 2 study remains active and ongoing outside of the United States. Enrollment within the United States is paused as the FDA has requested additional data to allow the Phase 2 study to proceed; discussions are ongoing with the FDA to allow the resumption of U.S. enrollment.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most advanced molecule in the Company’s metabolic platform is sepiapterin, a precursor to intracellular tetrahydrobiopterin, which is a critical enzymatic cofactor involved in metabolism and synthesis of numerous metabolic products, for orphan diseases. In May 2023, the Company announced that the primary endpoint was achieved in its registration-directed Phase 3 trial for sepiapterin for </w:t>
      </w:r>
      <w:r>
        <w:rPr>
          <w:rFonts w:ascii="Times New Roman;Times;serif" w:hAnsi="Times New Roman;Times;serif"/>
          <w:sz w:val="20"/>
          <w:shd w:fill="FFFFFF" w:val="clear"/>
        </w:rPr>
        <w:t>phenylketonuria (“PKU”)</w:t>
      </w:r>
      <w:r>
        <w:rPr>
          <w:rFonts w:ascii="Times New Roman;Times;serif" w:hAnsi="Times New Roman;Times;serif"/>
          <w:sz w:val="20"/>
        </w:rPr>
        <w:t>. The primary endpoint of the study was the achievement of statistically-significant reduction in blood Phe level. The Company expects to submit an NDA to the FDA for sepiapterin for the treatment of PKU in the fourth quarter of 2023 pending FDA feedback from its scheduled pre-NDA meeting.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Bio-e platform consists of small molecule compounds that target oxidoreductase enzymes that regulate oxidative stress and inflammatory pathways central to the pathology of a number of CNS diseases. The two most advanced molecules in the Company’s Bio-e platform are vatiquinone and utreloxastat. The Company announced topline results from a registration-directed Phase 3 trial of vatiquinone in children and young adults with Friedreich ataxia in May 2023. While the study did not meet its primary endpoint of statistically significant change, the Company has been granted a Type C meeting with the FDA to discuss the potential for an NDA submission for vatiquinone for the treatment of Friedreich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ataxia based on signals of clinical benefit seen in the trial. In June 2023, the Company announced that its registration-directed Phase 2/3 placebo-controlled trial of vatiquinone in children with mitochondrial disease associated seizures did not achieve its primary endpoint. The Company has decided to deprioritize its program for vatiquinone in children with mitochondrial disease associated seizures given the results of the Phase 2/3 study.  The Company initiated a Phase 2 trial of utreloxastat for amyotrophic lateral sclerosis in the first quarter of 2022 and enrollment is ongoing.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Unesbulin is the Company’s most advanced oncology agent. The Company completed its Phase 1 trials evaluating unesbulin in leiomyosarcoma (“LMS”) and diffuse intrinsic pontine glioma (“DIPG”) in the fourth quarter of 2021. The Company initiated a registration-directed Phase 2/3 trial of unesbulin for the treatment of LMS in the first quarter of 2022 and enrollment is ongoing. The Company is evaluating its plans for a potential initiation of a registration-directed Phase 2/3 trial of unesbulin for the treatment of DIPG.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Company has a pipeline of product candidates and discovery programs that are in early clinical, pre-clinical and research and development stages focused on the development of new treatments for multiple therapeutic areas for rare diseases.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2023, the Company had an accumulated deficit of approximately $2,994.8 million. The Company has financed its operations to date primarily through the private offerings in September 2019 of 1.50% convertible senior notes due 2026 (see Note 9), public offerings of common stock in February 2014, October 2014, April 2018, January 2019, and September 2019, “at the market offering” of its common stock, its initial public offering of common stock in June 2013, proceeds from the Royalty Purchase Agreement dated as of July 17, 2020, by and among the Company, RPI 2019 Intermediate Finance Trust (“RPI”), and, solely for the limited purposes set forth therein, Royalty Pharma PLC (the “Royalty Purchase Agreement”) (see Note 2), net proceeds from the Company’s’ borrowings under its credit agreement with Blackstone (see Note 9), private placements of its convertible preferred stock and common stock, collaborations, bank and institutional lender debt, other convertible debt, grant funding and clinical trial support from governmental and philanthropic organizations and patient advocacy groups in the disease area addressed by the Company’s product candidates. The Company has also relied on revenue generated from net sales of Translarna for the treatment of nmDMD in territories outside of the United States since 2014, Emflaza for the treatment of DMD in the United States since 2017, and Upstaza for the treatment of AADC deficiency in the EEA since May 2022. The Company has also relied on revenue associated with milestone and royalty payments from Roche pursuant to the License and Collaboration Agreement (the “SMA License Agreement”) dated as of November 23, 2011, by and among the Company, Roche and, for the limited purposes set forth therein, the SMA Foundation, under its SMA program. The Company expects that cash flows from the sales of its products, milestone and royalty payments from Roche, together with the Company’s cash, cash equivalents and marketable securities, will be sufficient to fund its operations for at least the next twelve months.</w:t>
      </w:r>
    </w:p>
    <w:p>
      <w:pPr>
        <w:pStyle w:val="TextBody"/>
        <w:bidi w:val="0"/>
        <w:spacing w:before="0" w:after="240"/>
        <w:ind w:left="0" w:right="0" w:hanging="0"/>
        <w:jc w:val="both"/>
        <w:rPr/>
      </w:pPr>
      <w:r>
        <w:rPr/>
        <w:t>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complete listing of significant accounting policies is set forth in Note 2 of the notes to the Company’s audited financial statements as of December 31, 2022 included in the Company’s Annual Report on Form 10-K filed with the Securities and Exchange Commission (the "SEC") on February 21, 2023 (the "2022 Form 10-K"). Selected significant accounting policies are discussed in further detail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financial information as of June 30, 2023 and for the three and six months ended June 30, 2023 and 2022 has been prepared by the Company, without audit, pursuant to the rules and regulations of the SEC. Certain information and footnote disclosures normally included in financial statements prepared in accordance with generally accepted accounting principles in the United States ("GAAP") have been condensed or omitted pursuant to such rules and regulations. These interim financial statements should be read in conjunction with the Company’s audited financial statements as of December 31, 2022 and notes thereto included in the 2022 Form 10-K.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opinion of management, the unaudited financial information as of June 30, 2023 and for the three and six months ended June 30, 2023 and 2022 reflects all adjustments, which are normal recurring adjustments, necessary to present a fair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44" w:name="Tc_7II3hdnmS0urJayNtsSKwg_7_5"/>
      <w:bookmarkStart w:id="945" w:name="Tc_exglCIx0xk6XeCqg2_GBUA_7_2"/>
      <w:bookmarkStart w:id="946" w:name="Tc_SuWV6m6jpUWvxzt1s8Lk-w_7_0"/>
      <w:bookmarkStart w:id="947" w:name="Tc_vs4irJ-l5kmu92PkYPYhyQ_6_0"/>
      <w:bookmarkStart w:id="948" w:name="Tc_-olR-HH6VUi66ElR1MOS3A_5_5"/>
      <w:bookmarkStart w:id="949" w:name="Tc_W3vcbAoKEUiXKaAGNQBxkg_5_2"/>
      <w:bookmarkStart w:id="950" w:name="Tc_SqZCyeu03kylIbVOh4QXSg_5_0"/>
      <w:bookmarkStart w:id="951" w:name="Tc_iXYn8WQRMEauD_zHwPyznA_4_5"/>
      <w:bookmarkStart w:id="952" w:name="Tc_5ZiAag-53U6Aua1eD46OIQ_4_2"/>
      <w:bookmarkStart w:id="953" w:name="Tc_rFvBpALnwUWxx-8zi7aIsQ_3_5"/>
      <w:bookmarkStart w:id="954" w:name="Tc_jkuLAPdykkmIK0blSz3hJA_3_2"/>
      <w:bookmarkStart w:id="955" w:name="Tc_NjrO5RlArEe-4DgeI0OdRw_2_5"/>
      <w:bookmarkStart w:id="956" w:name="Tc_f-imh0-hHEK1WxkK9xv-pw_2_2"/>
      <w:bookmarkStart w:id="957" w:name="Tc_twCsxNRpwEuWHvmA5hZjCw_1_6"/>
      <w:bookmarkStart w:id="958" w:name="Tc_Natb4KkPrEaDNmaUzzQHzQ_1_2"/>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r>
        <w:rPr>
          <w:rFonts w:ascii="Times New Roman;Times;serif" w:hAnsi="Times New Roman;Times;serif"/>
          <w:sz w:val="20"/>
        </w:rPr>
        <w:t>statement of financial position, results of operations, stockholders’ (deficit) equity, and cash flows. The results of operations for the three and six months ended June 30, 2023 are not necessarily indicative of the results to be expected for the year ended December 31, 2023 or for any other interim period or for any other future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financial statements and accompanying notes. Significant estimates in these consolidated financial statements have been made in connection with the calculation of net product sales, royalty revenue, certain accruals related to the Company’s research and development expenses, valuation procedures for liability for sale of future royalties, valuation procedures for convertible notes, fair value of the contingent consideration, and the provision for or benefit from income taxes. Actual results could differ from those estimates. Changes in estimates are reflected in reported results in the period in which they become known.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Restricted cash included in deposits and other assets on the consolidated balance sheet contains an unconditional, irrevocable and transferable letter of credit that was entered into during the twelve-month period ended December 31, 2019 in connection with obligations under a facility lease for the Company’s leased biologics manufacturing facility in Hopewell Township, New Jersey. The amount of the letter of credit is $7.5 million, is to be maintained for a term of not less than five years and has the potential to be reduced to $3.8 million if after five years the Company is not in default of its lease. Restricted cash also contains an unconditional, irrevocable and transferable letter of credit that was entered into during June 2022 in connection with obligations for the Company’s new facility lease in Warren, New Jersey. The amount of the letter of credit is $8.1 million and has the potential to be reduced to $4.1 million if after five years the Company is not in default of its lease. Both amounts are classified within deposits and other assets on the consolidated balance sheet due to the long-term nature of the respective letters of credit. Restricted cash also includes a bank guarantee of $0.5 million denominated in a foreign currency.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consolidated balance sheet that sum to the total of the same amounts shown in the statement of cash flows:</w:t>
      </w:r>
    </w:p>
    <w:p>
      <w:pPr>
        <w:pStyle w:val="TextBody"/>
        <w:bidi w:val="0"/>
        <w:spacing w:before="0" w:after="240"/>
        <w:ind w:left="0" w:right="0" w:hanging="0"/>
        <w:jc w:val="both"/>
        <w:rPr/>
      </w:pPr>
      <w:r>
        <w:rPr/>
        <w:t>​</w:t>
      </w:r>
    </w:p>
    <w:tbl>
      <w:tblPr>
        <w:tblW w:w="9132" w:type="dxa"/>
        <w:jc w:val="left"/>
        <w:tblInd w:w="0" w:type="dxa"/>
        <w:tblLayout w:type="fixed"/>
        <w:tblCellMar>
          <w:top w:w="0" w:type="dxa"/>
          <w:left w:w="0" w:type="dxa"/>
          <w:bottom w:w="0" w:type="dxa"/>
          <w:right w:w="0" w:type="dxa"/>
        </w:tblCellMar>
      </w:tblPr>
      <w:tblGrid>
        <w:gridCol w:w="6211"/>
        <w:gridCol w:w="326"/>
        <w:gridCol w:w="211"/>
        <w:gridCol w:w="781"/>
        <w:gridCol w:w="326"/>
        <w:gridCol w:w="211"/>
        <w:gridCol w:w="1066"/>
      </w:tblGrid>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 of</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 of</w: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279,834</w:t>
            </w:r>
          </w:p>
        </w:tc>
      </w:tr>
      <w:tr>
        <w:trPr/>
        <w:tc>
          <w:tcPr>
            <w:tcW w:w="6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cash included in deposits and other assets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16,091</w:t>
            </w:r>
          </w:p>
        </w:tc>
      </w:tr>
      <w:tr>
        <w:trPr/>
        <w:tc>
          <w:tcPr>
            <w:tcW w:w="6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per statement of cash flows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295,925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Marketable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marketable securities consists of both debt securities and equity investments. The Company considers its investments in debt securities with original maturities of greater than 90 days to be available for sale securities. Securities under this classification are recorded at fair value and unrealized gains and losses within accumulated other comprehensive income. The estimated fair value of the available for sale securities is determined based on quoted market prices or rates for similar instruments. In addition, the cost of debt securities in this category is adjusted for amortization of premium and accretion of discount to maturity. 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If the criteria are not met, the Company evaluates whether the decline in fair value has resulted from a credit loss or other factors. In making this assessment, management considers, among other factors, the extent to which fair value is less than amortized cost, any changes to the rating of the security by a rating agency, and adverse conditions specifically related to the security. If this assessment indicates that a credit loss exists, the present value of cash flows expected to be collected from the security are compared to the amortized cost basis of the security. If the present value of the cash flows expected to be collected is less than the amortized cost basis, a credit loss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59" w:name="_Hlk140485120"/>
      <w:bookmarkStart w:id="960" w:name="Tc_gbzwHHCCCECo9P2QqgE6EQ_5_5"/>
      <w:bookmarkStart w:id="961" w:name="Tc_nj46dZ4eBkCyA8WGuNMLwA_5_2"/>
      <w:bookmarkStart w:id="962" w:name="Tc_DOi71EZCOESuybexcMZ5Qg_5_0"/>
      <w:bookmarkStart w:id="963" w:name="Tc_iB1giCTOxU-zV_7YUlUE3w_4_0"/>
      <w:bookmarkStart w:id="964" w:name="Tc_QoUbIfsMtEurIyswFaDazQ_3_0"/>
      <w:bookmarkStart w:id="965" w:name="Tc_tb2NPbqzTkWr9gFV4eEl9A_2_5"/>
      <w:bookmarkStart w:id="966" w:name="Tc_y4D8asT3ZUG8-XbuYS760g_2_2"/>
      <w:bookmarkStart w:id="967" w:name="Tc_1qbnckque0ulkszpWbcbuw_2_0"/>
      <w:bookmarkStart w:id="968" w:name="Tc_428YOSdUkEGcI_i8YE4nWg_1_5"/>
      <w:bookmarkStart w:id="969" w:name="Tc_2JK4JibZ-kSxBMNF4xsJoA_1_2"/>
      <w:bookmarkEnd w:id="959"/>
      <w:bookmarkEnd w:id="960"/>
      <w:bookmarkEnd w:id="961"/>
      <w:bookmarkEnd w:id="962"/>
      <w:bookmarkEnd w:id="963"/>
      <w:bookmarkEnd w:id="964"/>
      <w:bookmarkEnd w:id="965"/>
      <w:bookmarkEnd w:id="966"/>
      <w:bookmarkEnd w:id="967"/>
      <w:bookmarkEnd w:id="968"/>
      <w:bookmarkEnd w:id="969"/>
      <w:r>
        <w:rPr>
          <w:rFonts w:ascii="Times New Roman;Times;serif" w:hAnsi="Times New Roman;Times;serif"/>
          <w:sz w:val="20"/>
        </w:rPr>
        <w:t>exists and an allowance for credit losses is recorded for the credit loss, limited by the amount that the fair value is less than the amortized costs basis. Any impairment that has not been recorded through an allowance for credit losses is recognized in other comprehensive income. For the three and six months ended June 30, 2023 and 2022, no allowance was recorded for credit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Marketable securities that are equity investments are measured at fair value, as it is readily available, and as such are classified as Level 1 assets. Unrealized holding gains and losses for these equity investments are components of other (expense) income, net within the consolidated statement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Inventory and cost of product sales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are stated at the lower of cost and net realizable value with cost determined on a first-in, first-out basis by product. The Company capitalizes inventory costs associated with products following regulatory approval when future commercialization is considered probable and the future economic benefit is expected to be realized. Products which may be used in clinical development programs are included in inventory and charged to research and development expense when the product enters the research and development process and no longer can be used for commercial purposes. Inventory used for marketing efforts are charged to selling, general and administrative expense. Amounts related to clinical development programs and marketing efforts are immaterial.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components of the Company’s inventory for the periods indicated:</w:t>
      </w:r>
    </w:p>
    <w:p>
      <w:pPr>
        <w:pStyle w:val="TextBody"/>
        <w:bidi w:val="0"/>
        <w:spacing w:before="0" w:after="0"/>
        <w:ind w:left="0" w:right="0" w:hanging="0"/>
        <w:jc w:val="left"/>
        <w:rPr/>
      </w:pPr>
      <w:r>
        <w:rPr/>
        <w:t>​</w:t>
      </w:r>
    </w:p>
    <w:tbl>
      <w:tblPr>
        <w:tblW w:w="4825" w:type="dxa"/>
        <w:jc w:val="left"/>
        <w:tblInd w:w="0" w:type="dxa"/>
        <w:tblLayout w:type="fixed"/>
        <w:tblCellMar>
          <w:top w:w="0" w:type="dxa"/>
          <w:left w:w="0" w:type="dxa"/>
          <w:bottom w:w="0" w:type="dxa"/>
          <w:right w:w="0" w:type="dxa"/>
        </w:tblCellMar>
      </w:tblPr>
      <w:tblGrid>
        <w:gridCol w:w="1501"/>
        <w:gridCol w:w="326"/>
        <w:gridCol w:w="267"/>
        <w:gridCol w:w="859"/>
        <w:gridCol w:w="326"/>
        <w:gridCol w:w="324"/>
        <w:gridCol w:w="1222"/>
      </w:tblGrid>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20,873</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 </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14,074</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10,038</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6,656</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32,018</w:t>
            </w:r>
          </w:p>
        </w:tc>
        <w:tc>
          <w:tcPr>
            <w:tcW w:w="326" w:type="dxa"/>
            <w:tcBorders/>
            <w:vAlign w:val="center"/>
          </w:tcPr>
          <w:p>
            <w:pPr>
              <w:pStyle w:val="TableContents"/>
              <w:bidi w:val="0"/>
              <w:spacing w:before="0" w:after="0"/>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21,808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periodically reviews its inventories for excess amounts or obsolescence and writes down obsolete or otherwise unmarketable inventory to its estimated net realizable value. For the three and six months ended June 30, 2023 the Company recorded inventory write-downs of $0.3 million and $0.4 million, respectively, primarily related to product approaching expiration. For the three and six months ended June 30, 2022, the Company recorded inventory write-downs of $0.3 million and $0.9 million, respectively, primarily related to product approaching expiration. Additionally, though the Company’s product is subject to strict quality control and monitoring which it performs throughout the manufacturing processes, certain batches or units of product may not meet quality specifications resulting in a charge to cost of product sales. For the three and six months ended June 30, 2023 and 2022, these amounts were immaterial.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product sales consists of the cost of inventory sold, manufacturing and supply chain costs, storage costs, amortization of the acquired intangible asset, royalty payments associated with net product sales, and royalty payments to collaborative partners associated with royalty revenues and collaboration revenue related to milestones. Production costs are expensed as cost of product sales when the related products are sold or royalty revenues and collaboration revenue milestones are earned.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product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net product revenue primarily consists of sales of Translarna in territories outside of the U.S. for the treatment of nmDMD and sales of Emflaza in the U.S. for the treatment of DMD. The Company recognizes revenue when its performance obligations with its customers have been satisfied. The Company’s performance obligations are to provide products based on customer orders from distributors, hospitals, specialty pharmacies or retail pharmacies. The performance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70" w:name="_Hlk108701172"/>
      <w:bookmarkEnd w:id="970"/>
      <w:r>
        <w:rPr>
          <w:rFonts w:ascii="Times New Roman;Times;serif" w:hAnsi="Times New Roman;Times;serif"/>
          <w:sz w:val="20"/>
        </w:rPr>
        <w:t>obligations are satisfied at a point in time when the Company’s customer obtains control of the product, which is typically upon delivery. The Company invoices its customers after the products have been delivered and invoice payments are generally due within 30 to 90 days of the invoice date. The Company determines the transaction price based on fixed consideration in its contractual agreements. Contract liabilities arise in certain circumstances when consideration is due for goods the Company has yet to provide. As the Company has identified only one distinct performance obligation, the transaction price is allocated entirely to product sales. In determining the transaction price, a significant financing component does not exist since the timing from when the Company delivers product to when the customers pay for the product is typically less than one year. Customers in certain countries pay in advance of product delivery. In those instances, payment and delivery typically occur in the same month.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records product sales net of any variable consideration, which includes discounts, allowances, rebates related to Medicaid and other government pricing programs, and distribution fees. The Company uses the expected value or most likely amount method when estimating its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June 30, 2023 and 2022, net product sales outside of the United States were $108.9 million and $86.9 million, respectively, consisting of sales of Translarna, Tegsedi, Waylivra, and Upstaza. Translarna net revenues made up $96.5 million and $77.0 million of the net product sales outside of the United States for the three months ended June 30, 2023 and 2022, respectively. For the three months ended June 30, 2023 and 2022, net product sales in the United States were $65.7 million and $56.8 million, respectively, consisting solely of sales of Emflaza. During the three months ended June 30, 2023, three countries, the United States, Russia, and Brazil, accounted for at least 10% of the Company’s net product sales, representing $65.7 million, $19.1 million, and $23.1 million of net product sales, respectively. During the three months ended June 30, 2022, two countries, the United States and Russia, accounted for at least 10% of the Company’s net product sales, representing $56.8 million and $23.6 million of net product sales,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six months ended June 30, 2023 and 2022, net product sales outside of the United States were $241.8 million and $168.1 million, respectively, consisting of Translarna, Tegsedi, Waylivra, and Upstaza. Translarna net revenues made up $211.6 million and $156.2 million of the net product sales outside of the United States for the six months ended June 30, 2023 and 2022, respectively. For the six months ended June 30, 2023 and 2022, net product sales in the United States were $120.3 million and $105.4 million, respectively, consisting solely of Emflaza. During the six months ended June 30, 2023, three countries, the United States, Russia, and Brazil, accounted for at least 10% of the Company’s net product sales, representing $120.3 million, $63.7 million, and $48.9 million of net product sales, respectively. During the six months ended June 30, 2022, three countries, the United States, Russia, and Brazil, accounted for at least 10% of the Company’s net product sales, representing $105.4 million, $28.9 million, and $32.5 million of net product sales,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relation to customer contracts, the Company incurs costs to fulfill a contract but does not incur costs to obtain a contract. These costs to fulfill a contract do not meet the criteria for capitalization and are expensed as incurred. The Company considers any shipping and handling costs that are incurred after the customer has obtained control of the product as a cost to fulfill a promise. Shipping and handling costs associated with finished goods delivered to customers are recorded as a selling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Collaboration and royalty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the inception of a collaboration arrangement, the Company needs to first evaluate if the arrangement meets the criteria in Financial Accounting Standards Board (“FASB”) Accounting Standards Codification (“ASC”) Topic 808 “Collaborative Arrangements” to then determine if ASC Topic 606 is applicable by considering whether the collaborator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71" w:name="_Hlk116471843"/>
      <w:bookmarkEnd w:id="971"/>
      <w:r>
        <w:rPr>
          <w:rFonts w:ascii="Times New Roman;Times;serif" w:hAnsi="Times New Roman;Times;serif"/>
          <w:sz w:val="20"/>
        </w:rPr>
        <w:t>meets the definition of a customer. If the criteria are met, the Company assesses the promises in the arrangement to identify distinct performance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licenses of intellectual property, the Company assesses,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 not to be distinct, then the license will be bundled with other promises in the arrangement into one distinct performance obligation. The Company needs to determine if the bundled performance obligation is satisfied over time or at a point in time. If the Company concludes that the nonrefundable, upfront license fees will be recognized over time, the Company will need to assess the appropriate method of measuring proportional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milestone payments, the Company assesses, at contract inception, whether the development or sales-based milestones are considered probable of being achieved. If it is probable that a significant revenue reversal will occur, the Company 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the Company’s control. If it is probable that a significant revenue reversal will not occur, the Company will estimate the milestone payments using the most likely amount method. The Company will re-assess the development and sales-based milestones each reporting period to determine the probability of achievement. The Company recognizes royalties from product sales at the later of when the related sales occur or when the performance obligation to which the royalty has been allocated has been satisfied. If it is probable that a significant revenue reversal will not occur, the Company will estimate the royalty payments using the most likely amount method.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2023 and 2022, the Company did not recognize collaboration revenue related to the SMA License Agreement with Roche. For the six months ended June 30, 2023 and 2022, the amounts recognized for the collaboration revenue related to the SMA License Agreement with Roche were immaterial.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2023, the Company has recognized $36.9 million and $67.7 million of royalty revenue, respectively, related to Evrysdi. For the three and six months ended June 30, 2022, the Company has recognized $21.8 million and $40.7 million of royalty revenue, respectively, related to Evrysdi.</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Manufacturing Revenue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manufacturing services related to the production of plasmid deoxyribonucleic acid (“DNA”) and adeno-associated virus (“AAV”) vectors for gene therapy applications for external customers. Performance obligations vary but may include manufacturing plasmid DNA and/or AAV vectors, material testing, stability studies, and other services related to material development. The transaction prices for these arrangements are fixed and include amounts stated in the contracts for each promised service. Typically, the performance obligations within a manufacturing contract are highly interdependent, in which case, the Company will combine them into a single performance obligation. The Company has determined that the assets created have no alternative use to the Company, and the Company has an enforceable right to payment for the performance completed to date, therefore revenue related to these services are recognized over time and is measured using an output method based on performance of manufacturing milestones completed to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Manufacturing service contracts may also include performance obligations related to project management services or obtaining materials from third parties. The Company has determined that these are separate performance obligations for which revenue is recognized at the point in time the services are performed. For performance obligations related to obtaining third party materials, the Company has determined that it is the principal as the Company has control of the materials and has discretion in setting the price. Therefore, the Company recognizes revenue on a gross basis related to obtaining third party materials.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Certain arrangements require a portion of the contract consideration to be received in advance at the commencement of the contract, and such advance payment is initially recorded as a contract liability. A contract asset may be recognized in the event the Company’s satisfaction of performance obligations outpaces customer billings.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2023, the Company recognized $2.4 million and $4.4 million of manufacturing revenue, respectively, related to plasmid DNA and AAV vector production for external customers. No manufacturing revenue was recognized for the three and six months ended June 30, 2022. As of June 30, 2023, the Company has contract assets of $0.4 million and no remaining performance obligations related to the production of plasmid DNA and AAV vectors for gene therapy applications for external customers. For the period ended December 31, 2022, the Company had remaining performance obligations of $1.4 million and no contracts assets related to plasmid DNA and AAV production for external customers.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Allowance for doubtful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maintains an allowance for estimated losses resulting from the inability of its customers to make required payments. The Company estimates uncollectible amounts based upon current customer receivable balances, the age of customer receivable balances, the customer’s financial condition and current economic trends. The Company also assesses whether an allowance for expected credit losses may be required which includes a review of the Company’s receivables portfolio, which are pooled on a customer basis or country basis.  In making its assessment of whether an allowance for credit losses is required, the Company considers its historical experience with customers, current balances, levels of delinquency, regulatory and legal environments, and other relevant current and future forecasted economic conditions. For the three and six months ended June 30, 2023 and 2022, no allowance was recorded for credit losses. The allowance for doubtful accounts was $0.6 million as of June 30, 2023 and $0.3 million as of December 31, 2022. Bad debt expense was immaterial for the three and six months ended June 30, 2023 and 2022.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Liability for sale of future royalties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val="false"/>
          <w:caps w:val="false"/>
          <w:smallCaps w:val="false"/>
          <w:sz w:val="20"/>
        </w:rPr>
        <w:t>On July 17, 2020, the Company, RPI, and, for the limited purposes set forth in the agreement, Royalty Pharma PLC, entered into the Royalty Purchase Agreement. Pursuant to the Royalty Purchase Agreement, the Company sold to RPI 42.933%</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(the “Assigned Royalty Payment”) of the Company’s right to receive sales-based royalty payments (the “Royalty”) on worldwide net sales of Evrysdi and any other product developed pursuant to the SMA License Agreement. In consideration for the sale of the Assigned Royalty Payments, RPI paid the Company $650.0</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million in cash consideration. The Company has retained a 57.067%</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interest in the Royalty and all economic rights to receive the remaining potential regulatory and sales milestone payments under the SMA License Agreement, which remaining milestone payments equal $250.0</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million in the aggregate as of June 30, 2023. The Royalty Purchase Agreement will terminate 60 days</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following the earlier of the date on which Roche is no longer obligated to make any payments of the Royalty pursuant to the SMA License Agreement and the date on which RPI has received $1.3</w:t>
      </w:r>
      <w:r>
        <w:rPr>
          <w:rFonts w:ascii="Times New Roman;Times;serif" w:hAnsi="Times New Roman;Times;serif"/>
          <w:i/>
          <w:caps w:val="false"/>
          <w:smallCaps w:val="false"/>
          <w:sz w:val="20"/>
        </w:rPr>
        <w:t> </w:t>
      </w:r>
      <w:r>
        <w:rPr>
          <w:rFonts w:ascii="Times New Roman;Times;serif" w:hAnsi="Times New Roman;Times;serif"/>
          <w:i w:val="false"/>
          <w:caps w:val="false"/>
          <w:smallCaps w:val="false"/>
          <w:sz w:val="20"/>
        </w:rPr>
        <w:t xml:space="preserve">billion in respect of the Assigned Royalty Payments.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cash consideration obtained pursuant to the Royalty Purchase Agreement is classified as debt and is recorded as “liability for sale of future royalties-current” and “liability for sale of future royalties-noncurrent” on the Company’s consolidated balance sheet based on the timing of the expected payments to be made to RPI. The fair value for the liability for sale of future royalties at the time of the transaction was based on the Company’s estimates of future royalties expected to be paid to RPI over the life of the arrangement, which was determined using forecasts from market data sources, which are considered Level 3 inputs. The liability is being amortized using the effective interest method over the life of the arrangement, in accordance with the respective guidance. The Company utilizes the prospective method to account for subsequent changes in the estimated future payments to be made to RPI.  Refer to Note 9 for further details.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Indefinite-lived intangible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Indefinite-lived intangible assets consist of in process research and development ("IPR&amp;D"). IPR&amp;D acquired directly in a transaction other than a business combination is capitalized if the projects will be further developed or have an alternative future use; otherwise they are expensed. The fair values of IPR&amp;D projects and license agreement assets acquired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business combinations are capitalized. Several methods may be used to determine the estimated fair value of the IPR&amp;D and license agreement asset acquired in a business combination. The Company utilizes the "income method" and uses estimated future net cash flows that are derived from projected sales revenues and estimated costs. These projections are based on factors such as relevant market size, patent protection, and expected pricing and industry trends. The estimated future net cash flows are then discounted to the present value using an appropriate discount rate. These assets are treated as indefinite-lived intangible assets until completion or abandonment of the projects, at which time the assets are amortized over the remaining useful life or written off, as appropriate. 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as part of the Company’s strategic portfolio prioritization, the Company decided to discontinue its preclinical and early research programs in its gene therapy platform, which included Friedreich ataxia and Angelman syndrome. As a result, the Company determined that the Friedreich ataxia and Angelman syndrome indefinite lived intangible assets were fully impaired and recorded impairment expense of $217.8 million during the three and six month periods ended June 30, 2023, which is recorded as intangible asset impairment in the statement of operations. Refer to Note 12 for further information regarding the Company’s intangible assets.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Goodwill represents the amount of consideration paid in excess of the fair value of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The Company reassesses its reporting units as part of its annual segment review. An entity is permitted to first assess qualitative factors to determine if a quantitative impairment test is necessary. Further testing is only required if the entity determines, based on the qualitative assessment, that it is more likely than not that the fair value of the reporting unit is less than its carrying amount.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Organization for Economic Co-operation and Development (“OECD”), the European Community (“the EC”), and individual taxing jurisdictions where the Company and its affiliates do business have recently focused on issues related to the taxation of multinational corporations. The OECD has released its comprehensive plan to create an agreed set of international rules for fighting base erosion and profit shifting. In addition, the OECD, the EC and individual taxing jurisdictions are examining changes to how taxing rights should be allocated among countries considering the digital economy. As a result, the tax laws in the U.S. and other countries in which the Company and its affiliates do business could change on a prospective or retroactive basis and any such changes could materially adversely affect the Company’s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22, 2017, the U.S. government enacted the 2017 Tax Act, which significantly revised U.S. tax law by, among other provisions, lowering the U.S. federal statutory corporate income tax rate to 21%, imposing a mandatory one-time transition tax on previously deferred foreign earnings, and eliminating or reducing certain income tax deductions. The Global Intangible Low-Taxed Income ("GILTI") provisions of the 2017 Tax Act require the Company to include in its U.S. income tax return foreign subsidiary earnings in excess of an allowable return on the foreign subsidiary’s tangible assets. The Company has elected to account for GILTI tax in the period in which it is incurred, and therefore has not provided any deferred tax impacts of GILTI in its consolidated financial statements for the period ended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72" w:name="_Hlk117253234"/>
      <w:bookmarkStart w:id="973" w:name="_Hlk117253374"/>
      <w:bookmarkEnd w:id="972"/>
      <w:bookmarkEnd w:id="973"/>
      <w:r>
        <w:rPr>
          <w:rFonts w:ascii="Times New Roman;Times;serif" w:hAnsi="Times New Roman;Times;serif"/>
          <w:sz w:val="20"/>
        </w:rPr>
        <w:t>Starting in 2022, TCJA amendments to IRC Section 174 no longer permits an immediate deduction for research and development (R&amp;D)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 As a result of this tax law change, the Company recorded a federal and state tax provision for the six months ended June 30, 2023, in the amount of $1.5 million and $10.5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August 23, 2018, the Company completed its acquisition of Agilis Biotherapeutics, Inc. (“Agilis”), pursuant to an Agreement and Plan of Merger, dated as of July 19, 2018 (the “Agilis Merger Agreement”), by and among the Company, Agility Merger Sub, Inc., a Delaware corporation and the Company’s wholly owned, indirect subsidiary, Agilis and, solely in its capacity as the representative, agent and attorney-in-fact of the equityholders of Agilis, Shareholder Representative Services LLC, (the “Agilis Merger”). The Company recorded a deferred tax liability in conjunction with the Agilis Merger of $122.0 million in 2018, related to the tax basis difference in the IPRD indefinite-lived intangibles acquired. The Company’s policy is to record a deferred tax liability related to acquired IPR&amp;D which may eventually be realized either upon amortization of the asset when the research is completed, and a product is successfully launched or the write-off of the asset if it is abandoned or unsuccessful. In July 2022, the Company received EMEA approval for a portion of the IPR&amp;D assets, and thus, began the amortization of the intangible.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announced the discontinuation of its preclinical and early research programs in gene therapy as part of a strategic portfolio prioritization. In conjunction with the announcement, the Company recorded an impairment to its indefinite-lived intangible for IP research and development relating to the Friedreich ataxia and Angelman syndrome gene therapy assets. As a result of the impairment, the Company recorded a deferred tax benefit of $50.9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accounts for as a single lease component for all leases. Operating and finance leases are classified as right of use ("ROU") assets, short term lease liabilities, and long term lease liabilities. Operating and finance lease ROU assets and lease liabilities are recognized at the commencement date based on the present value of lease payments over the lease term. ROU assets are amortized and lease liabilities accrete to yield straight-line expense over the term of the lease. Lease payments included in the measurement of the lease liability are comprised of fixed payments.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Variable lease payments associated with the Company’s leases are recognized when the event, activity, or circumstance in the lease agreement on which those payments are assessed occurs. Variable lease payments are presented in the Company’s consolidated statements of operations in the same line item as expense arising from fixed lease payments for operating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Leases with an initial term of 12 months or less are not recorded on the consolidated balance sheet and the Company recognizes lease expense for these leases on a straight-line basis over the lease term. The Company applies this policy to all underlying asset categories.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lessee is required to discount its unpaid lease payments using the interest rate implicit in the lease or, if that rate cannot be readily determined, its incremental borrowing rate. As most of the Company’s leases do not provide an implicit rate, the Company uses its incremental borrowing rate based on the information available at the commencement date in determining the present value of lease payments. The Company gives consideration to its recent debt issuances as well as publicly available data for instruments with similar characteristics when calculating its incremental borrowing rates.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Leasehold improvements are capitalized and depreciated over the lesser of useful life or lease term. See Note 3 Leases for additional information.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leases office space in South Plainfield, New Jersey for its principal office under two noncancelable operating leases through August 2024, in addition to office and laboratory space in Bridgewater, New Jersey and other locations throughout the United States and office space in various countries for international employees primarily through workspace providers.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leases approximately 220,500 square feet of office, manufacturing and laboratory space at a facility located in Hopewell Township, New Jersey pursuant to a Lease Agreement (the “Hopewell Lease”) with Hopewell Campus Owner LLC. The rental term of the Hopewell Lease commenced on July 1, 2020 and has an initial term of fifteen years (the “Hopewell Initial Term”), with two consecutive ten year renewal periods, each at the Company’s option. The aggregate rent for the Hopewell Initial Term will be approximately $111.5 million. The rental rate for the renewal periods will be 95% of the Prevailing Market Rate (as defined in the Hopewell Lease) and determined at the time of the exercise of the renewal. The Company is also responsible for maintaining certain insurance and the payment of proportional taxes, utilities and common area operating expenses. The Hopewell Lease contains customary events of default, representations, warranties and covenants.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2022, the Company entered into a Lease Agreement (the “Warren Lease”) with Warren CC Acquisitions, LLC (the “Warren Landlord”) relating to the lease of two entire buildings comprised of approximately 360,000 square feet of shell condition, modifiable space (the “Warren Premises”) at a facility located in Warren, New Jersey. The rental term of the Warren Lease commenced on June 1, 2022, with an initial term of seventeen years (the “Warren Initial Term”), followed by three consecutive five-year renewal periods at the Company’s option. The aggregate base rent for the Warren Initial Term will be approximately $163.0 million; provided, however, that if the Company is not subject to an Event of Default (as defined in the Warren Lease), the Company will be entitled to a base rent abatement over the first three years of the Warren Initial Term of approximately $18.6 million, reducing the Company’s total base rent obligation to $144.4 million. The rental rate for the renewal periods will be at the Fair Market Rental Value (as defined in the Warren Lease) and determined at the time of the exercise of the renewal. Beginning in the second lease year, the Company is also responsible for the payment of all taxes and operating expenses for the Warren Premises. As a result, the Company recorded an operating lease ROU asset of $28.9 million and an operating lease ROU liability of $28.9 million as of the commencement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developing the Warren Premises into office and laboratory space. The Company is entitled to an allowance of approximately $36.2 million to be provided by the Warren Landlord to be used towards such improvements. The Landlord is providing the allowance to cover those assets that are real property improvements, such as structural components, roofs, flooring, etc., whose useful lives are typically longer in nature. The Company evaluated the leasehold improvements under ASC 842 and determined that the Company will be the owner of the improvements, and therefore the $36.2 million allowance and $5.0 million due from the Landlord were treated as lease incentives at the commencement of the lease and included in the calculation of the lease ROU asset and lease ROU liability, effectively reducing both at Commencement Date. In connection with the execution of the Warren Lease, the Company also committed to fund a construction account with $3.6 million to go towards the Company’s improvements of the Warren Premises. Subject to the terms of the Warren Lease, the Company has a right of first offer to purchase the Warren Premises if the Warren Landlord receives a bona fide third party offer to purchase the Warren Premises or the Warren Landlord decides to sell the Warren Premises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74" w:name="Tc_kawioNqLn0aPcKtfVnBclw_5_5"/>
      <w:bookmarkStart w:id="975" w:name="Tc_3cKzYF4XPUqdTEIW-kwNhw_5_3"/>
      <w:bookmarkStart w:id="976" w:name="Tc_AWPOZggVJEmrLzB6gQ78iQ_5_0"/>
      <w:bookmarkStart w:id="977" w:name="Tc_G58gQp_gxU-JTaU3yOUkOQ_4_0"/>
      <w:bookmarkStart w:id="978" w:name="Tc_7bHlWCIv2k2uuD0v5yau4A_3_5"/>
      <w:bookmarkStart w:id="979" w:name="Tc_Ga6Vj9Qsj0-gRmvvhDwxhA_3_3"/>
      <w:bookmarkStart w:id="980" w:name="Tc_KDdztZlOA0uhlSUufEIAyg_3_0"/>
      <w:bookmarkStart w:id="981" w:name="Tc_cWJgBz-imkilh7N-nWSLfQ_2_0"/>
      <w:bookmarkStart w:id="982" w:name="Tc_SjoSEvEhr06YNWVjgIT-Dg_1_4"/>
      <w:bookmarkStart w:id="983" w:name="Tc_YlNniOf0oUW43ykb1eCk5Q_1_2"/>
      <w:bookmarkStart w:id="984" w:name="Tc_b8NWNVR3NEGVW_fUaOCUMg_7_11"/>
      <w:bookmarkStart w:id="985" w:name="Tc_iHbnqpsmlk6vCLAHxzJwtg_7_8"/>
      <w:bookmarkStart w:id="986" w:name="Tc_9OeNvm8qtk2PemBOeWbGZQ_7_5"/>
      <w:bookmarkStart w:id="987" w:name="Tc_SJy3F28rYESNx9pN1S5h3A_7_2"/>
      <w:bookmarkStart w:id="988" w:name="Tc_SC_Ntz2FyEi_wdH2u2lJkw_7_0"/>
      <w:bookmarkStart w:id="989" w:name="Tc_7gae_mzMZkKbqiLJsTRfPg_6_0"/>
      <w:bookmarkStart w:id="990" w:name="Tc_2C7CVgStBkCUEsbPRy_syQ_5_0"/>
      <w:bookmarkStart w:id="991" w:name="Tc_xvZ3zRE1rUyFdMpnK6oNXg_4_11"/>
      <w:bookmarkStart w:id="992" w:name="Tc_VwbkOl_vL0mICUfeyJpT8w_4_8"/>
      <w:bookmarkStart w:id="993" w:name="Tc_7UbACwaM_USWWx6DFixDGQ_4_5"/>
      <w:bookmarkStart w:id="994" w:name="Tc_O-8zWmnDkUG69WIr4j8DzA_4_2"/>
      <w:bookmarkStart w:id="995" w:name="Tc_VP1Z_rd9MkaaxNq0spY37g_4_0"/>
      <w:bookmarkStart w:id="996" w:name="Tc_jAH993smZkyUkMgGn3nUkQ_3_0"/>
      <w:bookmarkStart w:id="997" w:name="Tc__JAJDZHVSUCwbVvDy0UIsA_2_12"/>
      <w:bookmarkStart w:id="998" w:name="Tc_IPAyNVUDzkCG8xLPUH6HJA_2_9"/>
      <w:bookmarkStart w:id="999" w:name="Tc_br2GssK0T0u2JAleVukujw_2_6"/>
      <w:bookmarkStart w:id="1000" w:name="Tc_aLO5peOX20S69GE04FlqTg_2_3"/>
      <w:bookmarkStart w:id="1001" w:name="Tc_PlGZMljWdEO39saJPfh9vw_1_11"/>
      <w:bookmarkStart w:id="1002" w:name="Tc_TTaNwRJJN0KhRGnALsr7fg_1_8"/>
      <w:bookmarkStart w:id="1003" w:name="Tc_4F-5uLIlkEakByCJTkWWog_1_5"/>
      <w:bookmarkStart w:id="1004" w:name="Tc_CMvjaNlUW0aCHk8MKSvUYw_1_2"/>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ascii="Times New Roman;Times;serif" w:hAnsi="Times New Roman;Times;serif"/>
          <w:sz w:val="20"/>
        </w:rPr>
        <w:t>On June 19, 2020, the Company entered into a commercial manufacturing service agreement for a term of 12.5 years with MassBiologics of the University of Massachusetts Medical School ("MassBio"). The Company determined that the agreement was a finance lease, for which the Company recorded a finance lease ROU asset for $41.4 million and corresponding finance lease liability for $41.4 million at the onset of the lease agreement. Given that the leased asset is designed for the production of PTC’s AADC program and would not have an alternate use outside the PTC gene therapy platform without incurring significant costs, the Company determined that the lease should be treated as research and development expense under ASC 730. Accordingly, the full $41.4 million relating to the finance lease ROU asset was written off and expensed to research and development during the year ended December 31, 2020. As of June 30, 2023, the balance of the finance lease liabilities-current and finance lease liabilities-noncurrent are $2.2 million and $17.2 million, respectively, and are directly related to the Company’s MassBio agreement. As of December 31, 2022, the balance of the finance lease liabilities-current and finance lease liabilities-noncurrent were $3.0 million and $18.7 million, respectively. Additionally, the Company recorded finance lease costs of $0.4 million and $0.7 million related to interest on the lease liability during the three and six months ended June 30, 2023, respectively. The Company recorded finance lease costs of $0.4 million and $0.8 million related to interest on the lease liability during the three and six months ended June 30, 2022,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leases certain vehicles, lab equipment, and office equipment under operating leases. The Company’s leases have remaining operating lease terms ranging from 0.7 years to 15.9 years and certain of the leases include renewal options to extend the lease for up to 20 years. Rent expense was $7.2 million and $5.9 million for the three months ended June 30, 2023 and 2022, respectively, and $14.3 million and $11.2 million for the six months ended June 30, 2023 and 2022,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components of operating lease expense were as follows:</w:t>
      </w:r>
    </w:p>
    <w:p>
      <w:pPr>
        <w:pStyle w:val="TextBody"/>
        <w:bidi w:val="0"/>
        <w:spacing w:before="0" w:after="240"/>
        <w:ind w:left="0" w:right="0" w:hanging="0"/>
        <w:jc w:val="both"/>
        <w:rPr/>
      </w:pPr>
      <w:r>
        <w:rPr/>
        <w:t>​</w:t>
      </w:r>
    </w:p>
    <w:tbl>
      <w:tblPr>
        <w:tblW w:w="9874" w:type="dxa"/>
        <w:jc w:val="left"/>
        <w:tblInd w:w="0" w:type="dxa"/>
        <w:tblLayout w:type="fixed"/>
        <w:tblCellMar>
          <w:top w:w="0" w:type="dxa"/>
          <w:left w:w="0" w:type="dxa"/>
          <w:bottom w:w="0" w:type="dxa"/>
          <w:right w:w="0" w:type="dxa"/>
        </w:tblCellMar>
      </w:tblPr>
      <w:tblGrid>
        <w:gridCol w:w="2206"/>
        <w:gridCol w:w="326"/>
        <w:gridCol w:w="260"/>
        <w:gridCol w:w="1390"/>
        <w:gridCol w:w="326"/>
        <w:gridCol w:w="260"/>
        <w:gridCol w:w="1390"/>
        <w:gridCol w:w="326"/>
        <w:gridCol w:w="229"/>
        <w:gridCol w:w="1226"/>
        <w:gridCol w:w="326"/>
        <w:gridCol w:w="229"/>
        <w:gridCol w:w="1226"/>
        <w:gridCol w:w="154"/>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00810" cy="175260"/>
                      <wp:effectExtent l="0" t="0" r="0" b="0"/>
                      <wp:wrapNone/>
                      <wp:docPr id="117" name="Frame117"/>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5100" cy="175260"/>
                      <wp:effectExtent l="0" t="0" r="0" b="0"/>
                      <wp:wrapNone/>
                      <wp:docPr id="119" name="Frame11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882650" cy="175260"/>
                      <wp:effectExtent l="0" t="0" r="0" b="0"/>
                      <wp:wrapNone/>
                      <wp:docPr id="120" name="Frame120"/>
                      <a:graphic xmlns:a="http://schemas.openxmlformats.org/drawingml/2006/main">
                        <a:graphicData uri="http://schemas.microsoft.com/office/word/2010/wordprocessingShape">
                          <wps:wsp>
                            <wps:cNvSpPr txBox="1"/>
                            <wps:spPr>
                              <a:xfrm>
                                <a:off x="0" y="0"/>
                                <a:ext cx="882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65100" cy="175260"/>
                      <wp:effectExtent l="0" t="0" r="0" b="0"/>
                      <wp:wrapNone/>
                      <wp:docPr id="122" name="Frame12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882650" cy="175260"/>
                      <wp:effectExtent l="0" t="0" r="0" b="0"/>
                      <wp:wrapNone/>
                      <wp:docPr id="123" name="Frame123"/>
                      <a:graphic xmlns:a="http://schemas.openxmlformats.org/drawingml/2006/main">
                        <a:graphicData uri="http://schemas.microsoft.com/office/word/2010/wordprocessingShape">
                          <wps:wsp>
                            <wps:cNvSpPr txBox="1"/>
                            <wps:spPr>
                              <a:xfrm>
                                <a:off x="0" y="0"/>
                                <a:ext cx="882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5415" cy="175260"/>
                      <wp:effectExtent l="0" t="0" r="0" b="0"/>
                      <wp:wrapNone/>
                      <wp:docPr id="125" name="Frame125"/>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78510" cy="175260"/>
                      <wp:effectExtent l="0" t="0" r="0" b="0"/>
                      <wp:wrapNone/>
                      <wp:docPr id="126" name="Frame126"/>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5415" cy="175260"/>
                      <wp:effectExtent l="0" t="0" r="0" b="0"/>
                      <wp:wrapNone/>
                      <wp:docPr id="128" name="Frame12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78510" cy="175260"/>
                      <wp:effectExtent l="0" t="0" r="0" b="0"/>
                      <wp:wrapNone/>
                      <wp:docPr id="129" name="Frame129"/>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97790" cy="175260"/>
                      <wp:effectExtent l="0" t="0" r="0" b="0"/>
                      <wp:wrapNone/>
                      <wp:docPr id="130" name="Frame1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    </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    </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center"/>
              <w:rPr/>
            </w:pPr>
            <w:r>
              <w:rPr/>
              <w:t>    </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center"/>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center"/>
              <w:rPr/>
            </w:pPr>
            <w:r>
              <w:rPr/>
              <w:t>​</w:t>
            </w:r>
          </w:p>
        </w:tc>
        <w:tc>
          <w:tcPr>
            <w:tcW w:w="13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13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c>
          <w:tcPr>
            <w:tcW w:w="326" w:type="dxa"/>
            <w:tcBorders/>
            <w:vAlign w:val="center"/>
          </w:tcPr>
          <w:p>
            <w:pPr>
              <w:pStyle w:val="TableContents"/>
              <w:bidi w:val="0"/>
              <w:spacing w:before="0" w:after="0"/>
              <w:ind w:left="0" w:right="0" w:hanging="0"/>
              <w:jc w:val="center"/>
              <w:rPr/>
            </w:pPr>
            <w:r>
              <w:rPr/>
              <w:t>​</w:t>
            </w:r>
          </w:p>
        </w:tc>
        <w:tc>
          <w:tcPr>
            <w:tcW w:w="229" w:type="dxa"/>
            <w:tcBorders/>
            <w:vAlign w:val="center"/>
          </w:tcPr>
          <w:p>
            <w:pPr>
              <w:pStyle w:val="TableContents"/>
              <w:bidi w:val="0"/>
              <w:spacing w:before="0" w:after="0"/>
              <w:ind w:left="0" w:right="0" w:hanging="0"/>
              <w:jc w:val="center"/>
              <w:rPr/>
            </w:pPr>
            <w:r>
              <w:rPr/>
              <w:t>​</w:t>
            </w:r>
          </w:p>
        </w:tc>
        <w:tc>
          <w:tcPr>
            <w:tcW w:w="12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center"/>
              <w:rPr/>
            </w:pPr>
            <w:r>
              <w:rPr/>
              <w:t>​</w:t>
            </w:r>
          </w:p>
        </w:tc>
        <w:tc>
          <w:tcPr>
            <w:tcW w:w="229" w:type="dxa"/>
            <w:tcBorders/>
            <w:vAlign w:val="center"/>
          </w:tcPr>
          <w:p>
            <w:pPr>
              <w:pStyle w:val="TableContents"/>
              <w:bidi w:val="0"/>
              <w:spacing w:before="0" w:after="0"/>
              <w:ind w:left="0" w:right="0" w:hanging="0"/>
              <w:jc w:val="center"/>
              <w:rPr/>
            </w:pPr>
            <w:r>
              <w:rPr/>
              <w:t>​</w:t>
            </w:r>
          </w:p>
        </w:tc>
        <w:tc>
          <w:tcPr>
            <w:tcW w:w="12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c>
          <w:tcPr>
            <w:tcW w:w="154" w:type="dxa"/>
            <w:tcBorders/>
            <w:vAlign w:val="center"/>
          </w:tcPr>
          <w:p>
            <w:pPr>
              <w:pStyle w:val="TableContents"/>
              <w:bidi w:val="0"/>
              <w:spacing w:before="0" w:after="0"/>
              <w:ind w:left="0" w:right="0" w:hanging="0"/>
              <w:jc w:val="center"/>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39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2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226"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lease cost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10,973</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8,890</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3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13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 </w:t>
            </w:r>
          </w:p>
        </w:tc>
        <w:tc>
          <w:tcPr>
            <w:tcW w:w="12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 </w:t>
            </w:r>
          </w:p>
        </w:tc>
        <w:tc>
          <w:tcPr>
            <w:tcW w:w="12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7,203</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14,332</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operating lease cost is a component of operating expenses on the consolidated statements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lease term and discount rate information related to leases was as follows as June 30, 2023 and December 31, 2022:</w:t>
      </w:r>
    </w:p>
    <w:p>
      <w:pPr>
        <w:pStyle w:val="TextBody"/>
        <w:bidi w:val="0"/>
        <w:spacing w:before="0" w:after="0"/>
        <w:ind w:left="0" w:right="0" w:hanging="0"/>
        <w:jc w:val="left"/>
        <w:rPr/>
      </w:pPr>
      <w:r>
        <w:rPr/>
        <w:t>​</w:t>
      </w:r>
    </w:p>
    <w:tbl>
      <w:tblPr>
        <w:tblW w:w="9041" w:type="dxa"/>
        <w:jc w:val="left"/>
        <w:tblInd w:w="0" w:type="dxa"/>
        <w:tblLayout w:type="fixed"/>
        <w:tblCellMar>
          <w:top w:w="0" w:type="dxa"/>
          <w:left w:w="0" w:type="dxa"/>
          <w:bottom w:w="0" w:type="dxa"/>
          <w:right w:w="0" w:type="dxa"/>
        </w:tblCellMar>
      </w:tblPr>
      <w:tblGrid>
        <w:gridCol w:w="5446"/>
        <w:gridCol w:w="326"/>
        <w:gridCol w:w="1126"/>
        <w:gridCol w:w="326"/>
        <w:gridCol w:w="1501"/>
        <w:gridCol w:w="316"/>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458210" cy="175260"/>
                      <wp:effectExtent l="0" t="0" r="0" b="0"/>
                      <wp:wrapNone/>
                      <wp:docPr id="131" name="Frame131"/>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15010" cy="175260"/>
                      <wp:effectExtent l="0" t="0" r="0" b="0"/>
                      <wp:wrapNone/>
                      <wp:docPr id="133" name="Frame13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53135" cy="175260"/>
                      <wp:effectExtent l="0" t="0" r="0" b="0"/>
                      <wp:wrapNone/>
                      <wp:docPr id="135" name="Frame13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0660" cy="175260"/>
                      <wp:effectExtent l="0" t="0" r="0" b="0"/>
                      <wp:wrapNone/>
                      <wp:docPr id="136" name="Frame13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16" w:type="dxa"/>
            <w:tcBorders/>
            <w:vAlign w:val="center"/>
          </w:tcPr>
          <w:p>
            <w:pPr>
              <w:pStyle w:val="TableContents"/>
              <w:bidi w:val="0"/>
              <w:spacing w:before="0" w:after="1"/>
              <w:ind w:left="0" w:right="0" w:hanging="0"/>
              <w:jc w:val="center"/>
              <w:rPr/>
            </w:pPr>
            <w:r>
              <w:rPr/>
              <w:t> </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terms - operating leases (years)</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w:t>
            </w:r>
          </w:p>
        </w:tc>
        <w:tc>
          <w:tcPr>
            <w:tcW w:w="326"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 - operating leases</w:t>
            </w:r>
          </w:p>
        </w:tc>
        <w:tc>
          <w:tcPr>
            <w:tcW w:w="32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terms - finance lease (years)</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w:t>
            </w:r>
          </w:p>
        </w:tc>
        <w:tc>
          <w:tcPr>
            <w:tcW w:w="326"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 - finance lease</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05" w:name="Tc_W6HK8EE4BkurU_eD533PzA_9_5"/>
      <w:bookmarkStart w:id="1006" w:name="Tc_mCIMYwSTtkqyfK3TaRHhqQ_9_2"/>
      <w:bookmarkStart w:id="1007" w:name="Tc_JzR9N1BsvUW1eaYeSBhNtw_9_0"/>
      <w:bookmarkStart w:id="1008" w:name="Tc_fFDQNYeAX0eYH6GFzCgRDg_8_0"/>
      <w:bookmarkStart w:id="1009" w:name="Tc_S29R2awkfEGLTAIPIp1_Mg_7_0"/>
      <w:bookmarkStart w:id="1010" w:name="Tc_l5bb8PNsDEqFrxtJz1MQ5w_6_0"/>
      <w:bookmarkStart w:id="1011" w:name="Tc_byVAE9Y6BUCogFLFwkn6pA_5_0"/>
      <w:bookmarkStart w:id="1012" w:name="Tc_roSvFBlh6ECy5cF5C6-vqQ_4_0"/>
      <w:bookmarkStart w:id="1013" w:name="Tc_Bu75M89BnU-VfH79yMFSlA_3_0"/>
      <w:bookmarkStart w:id="1014" w:name="Tc_fVeeTqDAB0uoiakSkOOWZw_2_6"/>
      <w:bookmarkStart w:id="1015" w:name="Tc_o3KrI24gZ0G1r9ik33j2mg_2_5"/>
      <w:bookmarkStart w:id="1016" w:name="Tc_op9l4Ry4LEmllFoCP_f5Nw_2_2"/>
      <w:bookmarkStart w:id="1017" w:name="Tc_E7pyUKFfRU6mLGgSmjI2lw_2_0"/>
      <w:bookmarkStart w:id="1018" w:name="Tc__sHuBBqBg0S-cGuqKxljBA_1_5"/>
      <w:bookmarkStart w:id="1019" w:name="Tc_6XesZFp_E0KQb6bzMOKK8w_1_2"/>
      <w:bookmarkStart w:id="1020" w:name="Tc_NxDl1yQi2UKUnrwJM5NYdg_9_5"/>
      <w:bookmarkStart w:id="1021" w:name="Tc_Wtu1M9DOeUWgcIiKk1HBdw_9_3"/>
      <w:bookmarkStart w:id="1022" w:name="Tc_XiqNIAMBuUKQNW0i7fiv_g_9_2"/>
      <w:bookmarkStart w:id="1023" w:name="Tc_FqdeY-AjBkCYrm7wbzaCkA_9_0"/>
      <w:bookmarkStart w:id="1024" w:name="Tc_WNMa-V-gLUmUfnCEjelCTg_8_0"/>
      <w:bookmarkStart w:id="1025" w:name="Tc_G4EqAIIZVUW65g1CpPW66w_6_0"/>
      <w:bookmarkStart w:id="1026" w:name="Tc_jQeJlEWBxESW_JGgTkMJ4A_5_0"/>
      <w:bookmarkStart w:id="1027" w:name="Tc_U-VwYq-aEkSliPiEuZb2tQ_4_5"/>
      <w:bookmarkStart w:id="1028" w:name="Tc_M4GbgEQqpk-t204XW7QcRA_4_2"/>
      <w:bookmarkStart w:id="1029" w:name="Tc_vEx_ejVBUk2OGHPU3gcciQ_4_0"/>
      <w:bookmarkStart w:id="1030" w:name="Tc_OJhABQwRA0eOC9_9Y1LuuQ_3_0"/>
      <w:bookmarkStart w:id="1031" w:name="Tc_c-U4gn5KI0uvE9fn2RjCwQ_2_5"/>
      <w:bookmarkStart w:id="1032" w:name="Tc_EBhiBBNOKkeXUZ4Gx-PJdQ_2_2"/>
      <w:bookmarkStart w:id="1033" w:name="Tc_ZD0R11flgEqCpKWTKNWbhA_1_2"/>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Times New Roman;Times;serif" w:hAnsi="Times New Roman;Times;serif"/>
          <w:sz w:val="20"/>
        </w:rPr>
        <w:t>Supplemental cash flow information related to leases was as follows as of June 30, 2023 and 2022:</w:t>
      </w:r>
    </w:p>
    <w:p>
      <w:pPr>
        <w:pStyle w:val="TextBody"/>
        <w:bidi w:val="0"/>
        <w:spacing w:before="0" w:after="0"/>
        <w:ind w:left="0" w:right="0" w:hanging="0"/>
        <w:jc w:val="left"/>
        <w:rPr/>
      </w:pPr>
      <w:r>
        <w:rPr/>
        <w:t>​</w:t>
      </w:r>
    </w:p>
    <w:tbl>
      <w:tblPr>
        <w:tblW w:w="8350" w:type="dxa"/>
        <w:jc w:val="left"/>
        <w:tblInd w:w="0" w:type="dxa"/>
        <w:tblLayout w:type="fixed"/>
        <w:tblCellMar>
          <w:top w:w="0" w:type="dxa"/>
          <w:left w:w="0" w:type="dxa"/>
          <w:bottom w:w="0" w:type="dxa"/>
          <w:right w:w="0" w:type="dxa"/>
        </w:tblCellMar>
      </w:tblPr>
      <w:tblGrid>
        <w:gridCol w:w="5866"/>
        <w:gridCol w:w="326"/>
        <w:gridCol w:w="215"/>
        <w:gridCol w:w="584"/>
        <w:gridCol w:w="333"/>
        <w:gridCol w:w="215"/>
        <w:gridCol w:w="81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724910" cy="175260"/>
                      <wp:effectExtent l="0" t="0" r="0" b="0"/>
                      <wp:wrapNone/>
                      <wp:docPr id="137" name="Frame137"/>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6525" cy="175260"/>
                      <wp:effectExtent l="0" t="0" r="0" b="0"/>
                      <wp:wrapNone/>
                      <wp:docPr id="139" name="Frame13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70840" cy="175260"/>
                      <wp:effectExtent l="0" t="0" r="0" b="0"/>
                      <wp:wrapNone/>
                      <wp:docPr id="140" name="Frame140"/>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1455" cy="175260"/>
                      <wp:effectExtent l="0" t="0" r="0" b="0"/>
                      <wp:wrapNone/>
                      <wp:docPr id="141" name="Frame141"/>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6525" cy="175260"/>
                      <wp:effectExtent l="0" t="0" r="0" b="0"/>
                      <wp:wrapNone/>
                      <wp:docPr id="142" name="Frame14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14985" cy="175260"/>
                      <wp:effectExtent l="0" t="0" r="0" b="0"/>
                      <wp:wrapNone/>
                      <wp:docPr id="143" name="Frame14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3" w:type="dxa"/>
            <w:tcBorders/>
            <w:vAlign w:val="center"/>
          </w:tcPr>
          <w:p>
            <w:pPr>
              <w:pStyle w:val="TableContents"/>
              <w:bidi w:val="0"/>
              <w:spacing w:before="0" w:after="0"/>
              <w:ind w:left="0" w:right="0" w:hanging="0"/>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  </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7,624</w:t>
            </w:r>
          </w:p>
        </w:tc>
        <w:tc>
          <w:tcPr>
            <w:tcW w:w="33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7,089</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flows from finance lease</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c>
          <w:tcPr>
            <w:tcW w:w="33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w:t>
            </w:r>
          </w:p>
        </w:tc>
      </w:tr>
      <w:tr>
        <w:trPr/>
        <w:tc>
          <w:tcPr>
            <w:tcW w:w="5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obligations:</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68,642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Future minimum lease payments under non-cancelable leases as of June 30, 2023 were as follows:</w:t>
      </w:r>
    </w:p>
    <w:p>
      <w:pPr>
        <w:pStyle w:val="TextBody"/>
        <w:bidi w:val="0"/>
        <w:spacing w:before="0" w:after="0"/>
        <w:ind w:left="0" w:right="0" w:hanging="0"/>
        <w:jc w:val="left"/>
        <w:rPr/>
      </w:pPr>
      <w:r>
        <w:rPr/>
        <w:t>​</w:t>
      </w:r>
    </w:p>
    <w:tbl>
      <w:tblPr>
        <w:tblW w:w="7678" w:type="dxa"/>
        <w:jc w:val="left"/>
        <w:tblInd w:w="0" w:type="dxa"/>
        <w:tblLayout w:type="fixed"/>
        <w:tblCellMar>
          <w:top w:w="0" w:type="dxa"/>
          <w:left w:w="0" w:type="dxa"/>
          <w:bottom w:w="0" w:type="dxa"/>
          <w:right w:w="0" w:type="dxa"/>
        </w:tblCellMar>
      </w:tblPr>
      <w:tblGrid>
        <w:gridCol w:w="4381"/>
        <w:gridCol w:w="326"/>
        <w:gridCol w:w="290"/>
        <w:gridCol w:w="1076"/>
        <w:gridCol w:w="326"/>
        <w:gridCol w:w="267"/>
        <w:gridCol w:w="858"/>
        <w:gridCol w:w="154"/>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781935" cy="175260"/>
                      <wp:effectExtent l="0" t="0" r="0" b="0"/>
                      <wp:wrapNone/>
                      <wp:docPr id="144" name="Frame144"/>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4150" cy="175260"/>
                      <wp:effectExtent l="0" t="0" r="0" b="0"/>
                      <wp:wrapNone/>
                      <wp:docPr id="146" name="Frame146"/>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83260" cy="175260"/>
                      <wp:effectExtent l="0" t="0" r="0" b="0"/>
                      <wp:wrapNone/>
                      <wp:docPr id="147" name="Frame147"/>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69545" cy="175260"/>
                      <wp:effectExtent l="0" t="0" r="0" b="0"/>
                      <wp:wrapNone/>
                      <wp:docPr id="149" name="Frame14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44830" cy="175260"/>
                      <wp:effectExtent l="0" t="0" r="0" b="0"/>
                      <wp:wrapNone/>
                      <wp:docPr id="150" name="Frame150"/>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7790" cy="175260"/>
                      <wp:effectExtent l="0" t="0" r="0" b="0"/>
                      <wp:wrapNone/>
                      <wp:docPr id="151" name="Frame15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w:t>
            </w:r>
          </w:p>
        </w:tc>
        <w:tc>
          <w:tcPr>
            <w:tcW w:w="154" w:type="dxa"/>
            <w:tcBorders/>
            <w:vAlign w:val="center"/>
          </w:tcPr>
          <w:p>
            <w:pPr>
              <w:pStyle w:val="TableContents"/>
              <w:bidi w:val="0"/>
              <w:spacing w:before="0" w:after="0"/>
              <w:ind w:left="0" w:right="0" w:hanging="0"/>
              <w:jc w:val="center"/>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(excludes the six months ended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8,924</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18,388</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154" w:type="dxa"/>
            <w:tcBorders/>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20,440</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19,989</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154" w:type="dxa"/>
            <w:tcBorders/>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193,792</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261,533</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27,000</w:t>
            </w:r>
          </w:p>
        </w:tc>
        <w:tc>
          <w:tcPr>
            <w:tcW w:w="154" w:type="dxa"/>
            <w:tcBorders/>
            <w:vAlign w:val="center"/>
          </w:tcPr>
          <w:p>
            <w:pPr>
              <w:pStyle w:val="TableContents"/>
              <w:bidi w:val="0"/>
              <w:spacing w:before="0" w:after="0"/>
              <w:ind w:left="0" w:right="0" w:hanging="0"/>
              <w:jc w:val="lef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150,910</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110,623</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Fair value of financial instruments and marketable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follows the fair value measurement rules, which provideguidance on the use of fair value in accounting and disclosure for assets and liabilities when such accounting and disclosure is called for by other accounting literature. These rules establish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1—Unadjusted quoted prices in active markets for identical assets or liabilities that the Company has the ability to access at the balance sheet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3—Inputs are unobservable and reflect the Company’s assumptions as to what market participants would use in pricing the asset or liability. The Company develops these inputs based on the best information available.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equivalents and marketable securities are reflected in the accompanying financial statements at fair value. The carrying amount of receivables and accounts payable and accrued expenses approximates fair value due to the short-term nature of those instruments.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owns common stock in ClearPoint Neuro, Inc. (“ClearPoint”) (formerly MRI Interventions, Inc.), a publicly traded medical device company. The ClearPoint equity investments (collectively, the “ClearPoint Equity Investments”) represent financial instruments, and therefore, are recorded at fair value, which is readily determinable. The ClearPoint Equity Investments are components of prepaids and other current assets on the consolidated balance sheet as of June 30,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34" w:name="_Hlk116910594"/>
      <w:bookmarkStart w:id="1035" w:name="_Hlk71012461"/>
      <w:bookmarkEnd w:id="1034"/>
      <w:bookmarkEnd w:id="1035"/>
      <w:r>
        <w:rPr>
          <w:rFonts w:ascii="Times New Roman;Times;serif" w:hAnsi="Times New Roman;Times;serif"/>
          <w:sz w:val="20"/>
          <w:shd w:fill="FFFFFF" w:val="clear"/>
        </w:rPr>
        <w:t xml:space="preserve">2023, and deposits and other assets as of December 31, 2022. </w:t>
      </w:r>
      <w:r>
        <w:rPr>
          <w:rFonts w:ascii="Times New Roman;Times;serif" w:hAnsi="Times New Roman;Times;serif"/>
          <w:sz w:val="20"/>
        </w:rPr>
        <w:t>During three and six months ended June 30, 2023, the Company recorded unrealized losses of $1.1 million and $1.1 million, respectively. During the three and six months ended June 30, 2022, the Company recorded unrealized gains of $3.4 million and $2.4 million, respectively. During the three and six months ended June 30, 2023, the Company recorded a realized loss of $0.8 million for the sale of Clearpoint equity investments. During the three and six months ended June 30, 2022, the Company did not record any realized gains or losses for the sale of Clearpoint equity investments. These unrealized and realized gains and losses are components of other income (expense), net within the consolidated statement of operations. The fair value of the ClearPoint Equity Investments was $6.5 million and $11.0 million as of June 30, 2023 and December 31, 2022, respectively. The Company classifies the ClearPoint Equity Investments as Level 1 assets within the fair value hierarchy, as the value is based on a quoted market price in an active market, which is not adjusted.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January 2020, the Company purchased a $10.0 million convertible note from ClearPoint that the Company can convert into ClearPoint shares at a conversion rate of $6.00 per share at any point throughout the term of the loan, which matures five years from the purchase date. The Company determined that the convertible note represents an available for sale debt security and the Company has elected to record it at fair value under ASC 825. The Company classifies its ClearPoint convertible debt security as a Level 2 asset within the fair value hierarchy, as the value is based on inputs other than quoted prices that are observable. The fair value of the ClearPoint convertible debt security is determined at each reporting period by utilizing a Black-Scholes option pricing model, as well as a present value of expected cash flows from the debt security utilizing the risk free rate and the estimated credit spread as of the valuation date as the discount rate. During the three and six months ended June 30, 2023, the Company recorded unrealized losses of $1.6 million and $1.5 million, respectively. During the three and six months ended June 30, 2022, the Company recorded unrealized gains of $3.5 million and $2.0 million, respectively. These unrealized gains and losses are components of other income (expense), net within the consolidated statement of operations. The fair value of the convertible debt security was $13.7 million and $15.2 million as of June 30, 2023 and December 31, 2022, respectively. The convertible debt security is considered to be long term and is included as a component of deposits and other assets on the consolidated balance sheet. Other than the ClearPoint Equity Investments and the ClearPoint convertible debt security, no other items included in deposits and other assets and prepaids and other current assets on the consolidated balance sheets are fair valued.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The Company has investments in mutual funds, including one that is denominated in a foreign currency. All of these are equity investments and are classified as marketable securities on the Company’s consolidated balance sheets. These equity investments are reported at fair value, as they are readily available, and as such are classified as Level 1 assets. Unrealized holding gains and losses for these equity investments are included as components of other income (expense), net within the consolidated statement of operations. </w:t>
      </w:r>
      <w:r>
        <w:rPr>
          <w:rFonts w:ascii="Times New Roman;Times;serif" w:hAnsi="Times New Roman;Times;serif"/>
          <w:sz w:val="20"/>
        </w:rPr>
        <w:t>For the three and six months ended June 30, 2023, the Company had unrealized gains of $2.3 million and of $4.4 million, respectively, relating to the equity investments still held at the reporting date. For the three and six months ended June 30, 2022, the Company had unrealized losses of $4.9 million and $11.4 million relating to the equity investments still held at the reporting date, respectively. For three and six months ended June 30, 2023, the Company had redemptions of $2.2 million and $4.2 million, respectively. For the three and six months ended June 30, 2022, the Company had redemptions of $1.2 million and $3.6 million, respectively. For three and six months ended June 30, 2023, the Company had foreign currency unrealized gains of $1.2 million and $1.4 million, respectively, relating to these equity investments. For the three and six months ended June 30, 2022, the Company had foreign currency unrealized losses of $0.3 million and foreign currency unrealized gains of $0.4 million, respectively, relating to these equity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of marketable securities that are classified as available for sale debt securities is based upon market prices using quoted prices in active markets for identical assets quoted on the last day of the period. In establishing the estimated fair value of the remaining available for sale debt securities, the Company used the fair value as determined by its investment advisors using observable inputs other than quoted prices.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36" w:name="Tc_awrAkYoV3kGeTTMiKBAGpA_6_11"/>
      <w:bookmarkStart w:id="1037" w:name="Tc_oCfcjgPst0Oe4C5snWBUbw_6_8"/>
      <w:bookmarkStart w:id="1038" w:name="Tc_vX7ie2dpjkm-69sszzDUYw_6_5"/>
      <w:bookmarkStart w:id="1039" w:name="Tc_VQ51ATJQTUChWGsa_hDqSg_6_2"/>
      <w:bookmarkStart w:id="1040" w:name="Tc_Gum8X13kdEOiQURvX_BcgA_6_0"/>
      <w:bookmarkStart w:id="1041" w:name="Tc_blKa91UjxU29KZKRkR4jiQ_5_6"/>
      <w:bookmarkStart w:id="1042" w:name="Tc_uCbo-0j7AECWDXdqEE52dA_5_0"/>
      <w:bookmarkStart w:id="1043" w:name="Tc_LDilncee7kOAX6_AqqBRDA_4_11"/>
      <w:bookmarkStart w:id="1044" w:name="Tc_Hvu6FVmJHUKZp5M7Ek9kRA_4_8"/>
      <w:bookmarkStart w:id="1045" w:name="Tc_8P0KT9U_Q06B40EM5WlIXg_4_5"/>
      <w:bookmarkStart w:id="1046" w:name="Tc_psnFm88CjkKj5aVVQ2RyIw_4_2"/>
      <w:bookmarkStart w:id="1047" w:name="Tc_gpHVMGdz00Cip1R88drIdg_4_0"/>
      <w:bookmarkStart w:id="1048" w:name="Tc_LwClwp0DgUGk1Z0MqsNoNw_3_11"/>
      <w:bookmarkStart w:id="1049" w:name="Tc_hLJH7gml10OWDXSUHR5W5g_3_8"/>
      <w:bookmarkStart w:id="1050" w:name="Tc_3bkikLv7cUK9MHcJ0KGQRw_3_5"/>
      <w:bookmarkStart w:id="1051" w:name="Tc_dd8SbIhIB0m8BJijbrhWiA_3_2"/>
      <w:bookmarkStart w:id="1052" w:name="Tc_Lgr7mHf4IU-AY2W4PJt8JA_2_5"/>
      <w:bookmarkStart w:id="1053" w:name="Tc_5r3iniNp60eUQRgsvO7nog_2_2"/>
      <w:bookmarkStart w:id="1054" w:name="Tc_iUpfWxR-UUybXIxWNtM59A_1_2"/>
      <w:bookmarkStart w:id="1055" w:name="_d5b47f37_2ed4_4fd2_9a58_a84d48ec6471"/>
      <w:bookmarkStart w:id="1056" w:name="Tc_wX2iVqVsrUyksmr5GxJWFA_5_11"/>
      <w:bookmarkStart w:id="1057" w:name="Tc_UY2YR1r8bkyMsZii7VKLzw_5_8"/>
      <w:bookmarkStart w:id="1058" w:name="Tc_8f7vX1D5MEuXFn7QX13PPw_5_6"/>
      <w:bookmarkStart w:id="1059" w:name="Tc_GbMjZ4_1_U6FS8BWCQWXsQ_5_5"/>
      <w:bookmarkStart w:id="1060" w:name="Tc_M2cwUY6Y00yuzYYLrBVmpA_5_2"/>
      <w:bookmarkStart w:id="1061" w:name="Tc_8K9Q0MazG0-QGhOy41B62w_5_0"/>
      <w:bookmarkStart w:id="1062" w:name="Tc_wk7vkyIaSEmxa5ClizQb9A_4_11"/>
      <w:bookmarkStart w:id="1063" w:name="Tc_EHQc62zgmEK3OkS-LqKG8g_4_8"/>
      <w:bookmarkStart w:id="1064" w:name="Tc_715qM_nxwUurVD9w6ofP6w_4_5"/>
      <w:bookmarkStart w:id="1065" w:name="Tc_-XQkwrSIZkiWfGs8oVWprw_4_2"/>
      <w:bookmarkStart w:id="1066" w:name="Tc_CiDL4Rn5R0ShVcecdpgWhA_4_0"/>
      <w:bookmarkStart w:id="1067" w:name="Tc_Jfo0fYj-cUCMkwY9KovPEg_3_11"/>
      <w:bookmarkStart w:id="1068" w:name="Tc_cvks_r_ovEOJVIcu7Pa3LA_3_8"/>
      <w:bookmarkStart w:id="1069" w:name="Tc_4bZlD4sVU0uHRqwPgm4YOA_3_5"/>
      <w:bookmarkStart w:id="1070" w:name="Tc_K2sra4_3UUSOp7stTRIZMA_3_2"/>
      <w:bookmarkStart w:id="1071" w:name="Tc_hdMC_C2P20S4kJmxtQboLA_2_5"/>
      <w:bookmarkStart w:id="1072" w:name="Tc_x2lDbhdz_ku7ypwDmQ0K8g_2_2"/>
      <w:bookmarkStart w:id="1073" w:name="Tc_m4g0Grcrr02FKFE6ujKpcQ_1_2"/>
      <w:bookmarkStart w:id="1074" w:name="_9727734e_020d_44ea_b085_de26b6f5b047"/>
      <w:bookmarkStart w:id="1075" w:name="Tc_zM-VWtcuJUWfMQY47CyATg_12_11"/>
      <w:bookmarkStart w:id="1076" w:name="Tc__sjIgSmHgkyWIfYTF_UG8g_12_9"/>
      <w:bookmarkStart w:id="1077" w:name="Tc_sGTndKdT50GTigfjmHFW0Q_12_8"/>
      <w:bookmarkStart w:id="1078" w:name="Tc_a281Hidnj0CKvQhPrgTKMg_12_6"/>
      <w:bookmarkStart w:id="1079" w:name="Tc_DvY_yYrNVEyx_vX3OqLrxA_12_5"/>
      <w:bookmarkStart w:id="1080" w:name="Tc_NBEGzIfqCkeTcBS59_aJvQ_12_2"/>
      <w:bookmarkStart w:id="1081" w:name="Tc_PgNv_l5cYkqSy9H2xKCTAQ_12_0"/>
      <w:bookmarkStart w:id="1082" w:name="Tc_OtNcMwo7QEyoDyc6pe6yKQ_11_11"/>
      <w:bookmarkStart w:id="1083" w:name="Tc_iwrtoS7RgE2-Dx4WQM9Zgg_11_9"/>
      <w:bookmarkStart w:id="1084" w:name="Tc_2LIn-wMvpkO8RUY45xB4Mg_11_8"/>
      <w:bookmarkStart w:id="1085" w:name="Tc_MgqU1uLki0qNYlVs-2531w_11_6"/>
      <w:bookmarkStart w:id="1086" w:name="Tc_Is4Z7w_0A0iHxLSDmMcXSw_11_5"/>
      <w:bookmarkStart w:id="1087" w:name="Tc_UP3Jfhg7hEiDjpJIJm-N4A_11_2"/>
      <w:bookmarkStart w:id="1088" w:name="Tc_4wXDhW__CUitbw110kllZA_11_0"/>
      <w:bookmarkStart w:id="1089" w:name="Tc_h2sIdx4o70eItItHsAjhRg_10_12"/>
      <w:bookmarkStart w:id="1090" w:name="Tc_PWrDlR93OUaYs501xRR7VQ_10_11"/>
      <w:bookmarkStart w:id="1091" w:name="Tc_drQocJLhkUS4CjfgxQyItA_10_8"/>
      <w:bookmarkStart w:id="1092" w:name="Tc_h_mygEbj6EGoQTsA7ndYVg_10_6"/>
      <w:bookmarkStart w:id="1093" w:name="Tc_sIuI3iYMVEmeaKyBrm6p3Q_10_5"/>
      <w:bookmarkStart w:id="1094" w:name="Tc_erN-7-y9ukW2t3eJFCLbIA_10_2"/>
      <w:bookmarkStart w:id="1095" w:name="Tc_jz-mtIeY30qTQBeolqyMTA_10_0"/>
      <w:bookmarkStart w:id="1096" w:name="Tc_HM0BZod_n0OXGboCAuTNLg_9_12"/>
      <w:bookmarkStart w:id="1097" w:name="Tc_F43Z5KH8A0uJov90w6f3-Q_9_11"/>
      <w:bookmarkStart w:id="1098" w:name="Tc_CeYOj6moTkyibaGdgxK1XA_9_9"/>
      <w:bookmarkStart w:id="1099" w:name="Tc_411a5cFk2UyWYBCZKVJCOQ_9_8"/>
      <w:bookmarkStart w:id="1100" w:name="Tc_54G1jEQP00u6CmYobRL8Rw_9_5"/>
      <w:bookmarkStart w:id="1101" w:name="Tc_pRAytVYN606DWYycJuf-Jg_9_2"/>
      <w:bookmarkStart w:id="1102" w:name="Tc_72z6Q1ArIEW1RbWyM4CIMg_9_0"/>
      <w:bookmarkStart w:id="1103" w:name="Tc_PPWHFnD680ucspphc0L5Kg_8_12"/>
      <w:bookmarkStart w:id="1104" w:name="Tc_RMc1qljvG0Kaad8bHUq3qg_8_11"/>
      <w:bookmarkStart w:id="1105" w:name="Tc_QL8GIJVvnkavq-XH5u8x3w_8_9"/>
      <w:bookmarkStart w:id="1106" w:name="Tc_sNH9RudPr0unOd9LnkJZ6w_8_8"/>
      <w:bookmarkStart w:id="1107" w:name="Tc_-VTow6YVZ0upOSY7WH5CHQ_8_5"/>
      <w:bookmarkStart w:id="1108" w:name="Tc_CnqJOXY3mU277gYPOwzceg_8_2"/>
      <w:bookmarkStart w:id="1109" w:name="Tc_MO-q6xrr3E6WTroPySUmtQ_8_0"/>
      <w:bookmarkStart w:id="1110" w:name="Tc_Ki7k3tBXA0Cat2PnpFfsnA_7_12"/>
      <w:bookmarkStart w:id="1111" w:name="Tc_quAi_g_oJUmWuVNAR80eAA_7_11"/>
      <w:bookmarkStart w:id="1112" w:name="Tc_OCBjY1pCg0uDrB7jvsu7cA_7_8"/>
      <w:bookmarkStart w:id="1113" w:name="Tc__TQZRs_io06_LxtRlQG-4w_7_6"/>
      <w:bookmarkStart w:id="1114" w:name="Tc_VcuW6Wgoq0eTlOqheO8LKQ_7_5"/>
      <w:bookmarkStart w:id="1115" w:name="Tc_VksU4BBpX0ScdJ0hCH_jgg_7_2"/>
      <w:bookmarkStart w:id="1116" w:name="Tc_CMm18KFnmEWoet9HybnUOA_7_0"/>
      <w:bookmarkStart w:id="1117" w:name="Tc_3QPmuWAHcEGucaRgIStxAg_6_11"/>
      <w:bookmarkStart w:id="1118" w:name="Tc_Qy8xNo-voECS3fLKgSUeVg_6_8"/>
      <w:bookmarkStart w:id="1119" w:name="Tc_rHqFMuRH3E2luesH9BM21Q_6_5"/>
      <w:bookmarkStart w:id="1120" w:name="Tc_O63Nw9H6u0SkxJMEQ3UXfQ_6_2"/>
      <w:bookmarkStart w:id="1121" w:name="Tc_MUviPbTEC0eCo5h-SpjsyA_5_11"/>
      <w:bookmarkStart w:id="1122" w:name="Tc_TBJpt70oeE-bnxfhDFGigw_5_8"/>
      <w:bookmarkStart w:id="1123" w:name="Tc_CE3Fh9hQ3UWhfM1b1iA7dQ_5_5"/>
      <w:bookmarkStart w:id="1124" w:name="Tc_wXxUkU9qB0iL97_A_klwMg_4_11"/>
      <w:bookmarkStart w:id="1125" w:name="Tc_iNgESlmisUeLuRVSILJddQ_4_8"/>
      <w:bookmarkStart w:id="1126" w:name="Tc_fnTu-QVxBkecczN4-ywotA_4_5"/>
      <w:bookmarkStart w:id="1127" w:name="Tc_TBF5RMRm-k6N8itztE785A_3_11"/>
      <w:bookmarkStart w:id="1128" w:name="Tc_FNX6c9CjLUOy-0UjkRATOA_3_8"/>
      <w:bookmarkStart w:id="1129" w:name="Tc_I770WbBRzU-O40aLSNJKsQ_3_5"/>
      <w:bookmarkStart w:id="1130" w:name="Tc_At9glg60HEKc0M6byHe1XQ_2_8"/>
      <w:bookmarkStart w:id="1131" w:name="Tc_J2errfY-XUuttiTwHGsZ7Q_2_5"/>
      <w:bookmarkStart w:id="1132" w:name="Tc_Pulp9cKYBka5GEqcmGhSNQ_1_2"/>
      <w:bookmarkStart w:id="1133" w:name="_60fc69b0_b813_43bf_b2b7_4be6d72b2d48"/>
      <w:bookmarkStart w:id="1134" w:name="Tc_X-Do-YiynUSXvDoOrSIqVw_12_11"/>
      <w:bookmarkStart w:id="1135" w:name="Tc_h4X6JNdsQEWKdxGq2oEeOA_12_9"/>
      <w:bookmarkStart w:id="1136" w:name="Tc_MDiHYm9uLUm2WEFJliX8qg_12_8"/>
      <w:bookmarkStart w:id="1137" w:name="Tc_QN0nYyRzUUWX6VlPZlwD4A_12_6"/>
      <w:bookmarkStart w:id="1138" w:name="Tc_aVPb3I9JMEO9g_Kpq8YkpQ_12_5"/>
      <w:bookmarkStart w:id="1139" w:name="Tc_E5nNoXw5vE6E1Kwktq1DPg_12_2"/>
      <w:bookmarkStart w:id="1140" w:name="Tc_HxjCPemKI02o9xZBceRQ6Q_12_0"/>
      <w:bookmarkStart w:id="1141" w:name="Tc_10CWd5jF4EmlemM-vFyysg_11_11"/>
      <w:bookmarkStart w:id="1142" w:name="Tc_wP77_DSsPkKN9C0xl31-fA_11_9"/>
      <w:bookmarkStart w:id="1143" w:name="Tc_ayELNa7kEkm3Q_nHSyfaew_11_8"/>
      <w:bookmarkStart w:id="1144" w:name="Tc_9vHI5rklzkmveI4HktEieA_11_6"/>
      <w:bookmarkStart w:id="1145" w:name="Tc_Gz-vmaGhPE-WSFbFQ-nQQw_11_5"/>
      <w:bookmarkStart w:id="1146" w:name="Tc_sagbKDc7sECeHCGQw1jn_Q_11_2"/>
      <w:bookmarkStart w:id="1147" w:name="Tc_Z0MViZTKxEm-0ghisbkzkg_11_0"/>
      <w:bookmarkStart w:id="1148" w:name="Tc_dRx6kizVN0OAjkkG-56BHQ_10_12"/>
      <w:bookmarkStart w:id="1149" w:name="Tc_pgD5tg76GEKt6Gy74gYmEg_10_11"/>
      <w:bookmarkStart w:id="1150" w:name="Tc_vn5bkHEfSUuSjKTzu7B67g_10_8"/>
      <w:bookmarkStart w:id="1151" w:name="Tc_obEyuyG5ZEKsUrjZ2Z0JuQ_10_6"/>
      <w:bookmarkStart w:id="1152" w:name="Tc_vEus4jCpek-SOuDR7T3JUw_10_5"/>
      <w:bookmarkStart w:id="1153" w:name="Tc_vOei9WBzdEaY1Y5-Y5GEuw_10_2"/>
      <w:bookmarkStart w:id="1154" w:name="Tc_LXJtyzcKc0aorQhqBzIJWA_10_0"/>
      <w:bookmarkStart w:id="1155" w:name="Tc_rFzLnXetWEOE7k4Dm9qigQ_9_12"/>
      <w:bookmarkStart w:id="1156" w:name="Tc_NI1HBR9j7Em58v8SpHw1jg_9_11"/>
      <w:bookmarkStart w:id="1157" w:name="Tc_ORVq_-R1GUWUZaRtJES_BQ_9_9"/>
      <w:bookmarkStart w:id="1158" w:name="Tc_djInCKAMVEKZr9nMyVdfXQ_9_8"/>
      <w:bookmarkStart w:id="1159" w:name="Tc_DywWx2h6e0--gOZFIfTMDg_9_5"/>
      <w:bookmarkStart w:id="1160" w:name="Tc_F0dweDdK90aHlanPIYoQrA_9_2"/>
      <w:bookmarkStart w:id="1161" w:name="Tc_nMosJvO0-k-Jfm61sbt6_w_9_0"/>
      <w:bookmarkStart w:id="1162" w:name="Tc_ADqXJ4ycRUOz-owpb90ztg_8_12"/>
      <w:bookmarkStart w:id="1163" w:name="Tc_tnlYcmGpBE--G2xLrnGnKA_8_11"/>
      <w:bookmarkStart w:id="1164" w:name="Tc_soD63LO8p0S0T1-_d893lA_8_9"/>
      <w:bookmarkStart w:id="1165" w:name="Tc_-B_UuAH1pUeUZN3d-qpwlQ_8_8"/>
      <w:bookmarkStart w:id="1166" w:name="Tc_HJE2E-dZTUaNjE_62DwmaQ_8_5"/>
      <w:bookmarkStart w:id="1167" w:name="Tc_bg9aU8Tyi0O7nkyO2NJ0-A_8_2"/>
      <w:bookmarkStart w:id="1168" w:name="Tc_cjJOikMa1kqFn9PsK1xntg_8_0"/>
      <w:bookmarkStart w:id="1169" w:name="Tc_5a0PGK9Mt0SuozM58ygWRg_7_12"/>
      <w:bookmarkStart w:id="1170" w:name="Tc_SLGq3PvmvUSNBGcWXC5aNA_7_11"/>
      <w:bookmarkStart w:id="1171" w:name="Tc_R0OYyYetIEiVzbPws4N1Zw_7_8"/>
      <w:bookmarkStart w:id="1172" w:name="Tc_Jvrem5OEHUqZ-jOgHpmo1w_7_6"/>
      <w:bookmarkStart w:id="1173" w:name="Tc_dCUXLNgGdECzLcwq5M0ufQ_7_5"/>
      <w:bookmarkStart w:id="1174" w:name="Tc_CXHdgc464ka9ha2p8j0DOw_7_2"/>
      <w:bookmarkStart w:id="1175" w:name="Tc_1_76ZTJLNk2-9NDiPy20VA_7_0"/>
      <w:bookmarkStart w:id="1176" w:name="Tc_wZsAlYDgfkqen03N3e3Iyg_6_11"/>
      <w:bookmarkStart w:id="1177" w:name="Tc_Aukf4Eix9Uu5qobZTnAAGA_6_8"/>
      <w:bookmarkStart w:id="1178" w:name="Tc_Tutk9zpZwE-5VipeLY7kQA_6_5"/>
      <w:bookmarkStart w:id="1179" w:name="Tc_QwklUQ3MG06_pGbDT30YoQ_6_2"/>
      <w:bookmarkStart w:id="1180" w:name="Tc_4iYaZ63DI0mvLFbVzzsuAQ_5_11"/>
      <w:bookmarkStart w:id="1181" w:name="Tc_FRoVYahlCUeWKE6Q6MRIvw_5_8"/>
      <w:bookmarkStart w:id="1182" w:name="Tc_gHylP132AEGJqIJgfW6xFQ_5_5"/>
      <w:bookmarkStart w:id="1183" w:name="Tc_PzRxTCy_iEWMefWja8HinQ_4_11"/>
      <w:bookmarkStart w:id="1184" w:name="Tc_iR6N65TXckWl1rr-MoYnqQ_4_8"/>
      <w:bookmarkStart w:id="1185" w:name="Tc_RwEUgwOexUaUG5Ti847M7Q_4_5"/>
      <w:bookmarkStart w:id="1186" w:name="Tc_CUXc0p37kE--z0BtKNbnKA_3_11"/>
      <w:bookmarkStart w:id="1187" w:name="Tc_7jzPtcLjZ0uBSu3lpyzphw_3_8"/>
      <w:bookmarkStart w:id="1188" w:name="Tc_1WmkzVLbYU2rCH6zVFdd4g_3_5"/>
      <w:bookmarkStart w:id="1189" w:name="Tc_PySJdsS-406CWufNVzI0fA_2_8"/>
      <w:bookmarkStart w:id="1190" w:name="Tc_h-fX3X_T7U-uiw_ylCbmbg_2_5"/>
      <w:bookmarkStart w:id="1191" w:name="Tc_h6zkJhMPtUeSygsXVZ6sVQ_1_2"/>
      <w:bookmarkStart w:id="1192" w:name="_85440b86_03fc_4a9e_a3a7_1ab15ed6f0fa"/>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r>
        <w:rPr>
          <w:rFonts w:ascii="Times New Roman;Times;serif" w:hAnsi="Times New Roman;Times;serif"/>
          <w:sz w:val="20"/>
        </w:rPr>
        <w:t>The following represents the fair value using the hierarchy described above for the Company’s financial assets and liabilities that are required to be measured at fair value on a recurring basis as of June 30, 2023 and December 31,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40"/>
        <w:gridCol w:w="326"/>
        <w:gridCol w:w="211"/>
        <w:gridCol w:w="781"/>
        <w:gridCol w:w="326"/>
        <w:gridCol w:w="248"/>
        <w:gridCol w:w="923"/>
        <w:gridCol w:w="326"/>
        <w:gridCol w:w="211"/>
        <w:gridCol w:w="676"/>
        <w:gridCol w:w="326"/>
        <w:gridCol w:w="233"/>
        <w:gridCol w:w="878"/>
      </w:tblGrid>
      <w:tr>
        <w:trPr/>
        <w:tc>
          <w:tcPr>
            <w:tcW w:w="4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009900" cy="175260"/>
                      <wp:effectExtent l="0" t="0" r="0" b="0"/>
                      <wp:wrapNone/>
                      <wp:docPr id="152" name="Frame152"/>
                      <a:graphic xmlns:a="http://schemas.openxmlformats.org/drawingml/2006/main">
                        <a:graphicData uri="http://schemas.microsoft.com/office/word/2010/wordprocessingShape">
                          <wps:wsp>
                            <wps:cNvSpPr txBox="1"/>
                            <wps:spPr>
                              <a:xfrm>
                                <a:off x="0" y="0"/>
                                <a:ext cx="3009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5" name="Frame1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7480" cy="175260"/>
                      <wp:effectExtent l="0" t="0" r="0" b="0"/>
                      <wp:wrapNone/>
                      <wp:docPr id="157" name="Frame15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86105" cy="175260"/>
                      <wp:effectExtent l="0" t="0" r="0" b="0"/>
                      <wp:wrapNone/>
                      <wp:docPr id="158" name="Frame158"/>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61" name="Frame1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7955" cy="175260"/>
                      <wp:effectExtent l="0" t="0" r="0" b="0"/>
                      <wp:wrapNone/>
                      <wp:docPr id="163" name="Frame16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57530" cy="175260"/>
                      <wp:effectExtent l="0" t="0" r="0" b="0"/>
                      <wp:wrapNone/>
                      <wp:docPr id="164" name="Frame164"/>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3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47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left"/>
              <w:rPr/>
            </w:pPr>
            <w:r>
              <w:rPr/>
              <w:t>​</w:t>
            </w:r>
          </w:p>
        </w:tc>
      </w:tr>
      <w:tr>
        <w:trPr/>
        <w:tc>
          <w:tcPr>
            <w:tcW w:w="47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7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7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7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 - available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1"/>
              <w:ind w:left="0" w:right="0" w:hanging="0"/>
              <w:jc w:val="right"/>
              <w:rPr/>
            </w:pPr>
            <w:r>
              <w:rPr/>
              <w:t>—</w:t>
            </w:r>
          </w:p>
        </w:tc>
      </w:tr>
      <w:tr>
        <w:trPr/>
        <w:tc>
          <w:tcPr>
            <w:tcW w:w="4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 - equity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127,945</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1"/>
              <w:ind w:left="0" w:right="0" w:hanging="0"/>
              <w:jc w:val="right"/>
              <w:rPr/>
            </w:pPr>
            <w:r>
              <w:rPr/>
              <w:t>—</w:t>
            </w:r>
          </w:p>
        </w:tc>
      </w:tr>
      <w:tr>
        <w:trPr/>
        <w:tc>
          <w:tcPr>
            <w:tcW w:w="4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ClearPoint Equity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6,477</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1"/>
              <w:ind w:left="0" w:right="0" w:hanging="0"/>
              <w:jc w:val="right"/>
              <w:rPr/>
            </w:pPr>
            <w:r>
              <w:rPr/>
              <w:t>—</w:t>
            </w:r>
          </w:p>
        </w:tc>
      </w:tr>
      <w:tr>
        <w:trPr/>
        <w:tc>
          <w:tcPr>
            <w:tcW w:w="4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ClearPoint convertible debt security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13,693</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13,693</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1"/>
              <w:ind w:left="0" w:right="0" w:hanging="0"/>
              <w:jc w:val="right"/>
              <w:rPr/>
            </w:pPr>
            <w:r>
              <w:rPr/>
              <w:t>—</w:t>
            </w:r>
          </w:p>
        </w:tc>
      </w:tr>
      <w:tr>
        <w:trPr/>
        <w:tc>
          <w:tcPr>
            <w:tcW w:w="47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payable- development and regulatory milestones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26,400</w:t>
            </w:r>
          </w:p>
        </w:tc>
      </w:tr>
      <w:tr>
        <w:trPr/>
        <w:tc>
          <w:tcPr>
            <w:tcW w:w="47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payable- net sales milestones and royalties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11,100</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11,100</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740"/>
        <w:gridCol w:w="326"/>
        <w:gridCol w:w="211"/>
        <w:gridCol w:w="781"/>
        <w:gridCol w:w="326"/>
        <w:gridCol w:w="248"/>
        <w:gridCol w:w="923"/>
        <w:gridCol w:w="326"/>
        <w:gridCol w:w="211"/>
        <w:gridCol w:w="676"/>
        <w:gridCol w:w="326"/>
        <w:gridCol w:w="233"/>
        <w:gridCol w:w="878"/>
      </w:tblGrid>
      <w:tr>
        <w:trPr/>
        <w:tc>
          <w:tcPr>
            <w:tcW w:w="4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009900" cy="175260"/>
                      <wp:effectExtent l="0" t="0" r="0" b="0"/>
                      <wp:wrapNone/>
                      <wp:docPr id="165" name="Frame165"/>
                      <a:graphic xmlns:a="http://schemas.openxmlformats.org/drawingml/2006/main">
                        <a:graphicData uri="http://schemas.microsoft.com/office/word/2010/wordprocessingShape">
                          <wps:wsp>
                            <wps:cNvSpPr txBox="1"/>
                            <wps:spPr>
                              <a:xfrm>
                                <a:off x="0" y="0"/>
                                <a:ext cx="300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95935" cy="175260"/>
                      <wp:effectExtent l="0" t="0" r="0" b="0"/>
                      <wp:wrapNone/>
                      <wp:docPr id="168" name="Frame1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57480" cy="175260"/>
                      <wp:effectExtent l="0" t="0" r="0" b="0"/>
                      <wp:wrapNone/>
                      <wp:docPr id="170" name="Frame17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86105" cy="175260"/>
                      <wp:effectExtent l="0" t="0" r="0" b="0"/>
                      <wp:wrapNone/>
                      <wp:docPr id="171" name="Frame171"/>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7955" cy="175260"/>
                      <wp:effectExtent l="0" t="0" r="0" b="0"/>
                      <wp:wrapNone/>
                      <wp:docPr id="176" name="Frame17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57530" cy="175260"/>
                      <wp:effectExtent l="0" t="0" r="0" b="0"/>
                      <wp:wrapNone/>
                      <wp:docPr id="177" name="Frame177"/>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3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left"/>
              <w:rPr/>
            </w:pPr>
            <w:r>
              <w:rPr/>
              <w:t>​</w:t>
            </w:r>
          </w:p>
        </w:tc>
      </w:tr>
      <w:tr>
        <w:trPr/>
        <w:tc>
          <w:tcPr>
            <w:tcW w:w="4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47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4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 - available for sale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22,610</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22,610</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pPr>
            <w:r>
              <w:rPr/>
              <w:t>—</w:t>
            </w:r>
          </w:p>
        </w:tc>
      </w:tr>
      <w:tr>
        <w:trPr/>
        <w:tc>
          <w:tcPr>
            <w:tcW w:w="47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 - equity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108,261</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0"/>
              <w:ind w:left="0" w:right="0" w:hanging="0"/>
              <w:jc w:val="right"/>
              <w:rPr/>
            </w:pPr>
            <w:r>
              <w:rPr/>
              <w:t>—</w:t>
            </w:r>
          </w:p>
        </w:tc>
      </w:tr>
      <w:tr>
        <w:trPr/>
        <w:tc>
          <w:tcPr>
            <w:tcW w:w="4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ClearPoint Equity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pPr>
            <w:r>
              <w:rPr/>
              <w:t>—</w:t>
            </w:r>
          </w:p>
        </w:tc>
      </w:tr>
      <w:tr>
        <w:trPr/>
        <w:tc>
          <w:tcPr>
            <w:tcW w:w="47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ClearPoint convertible debt security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15,231</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15,231</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0"/>
              <w:ind w:left="0" w:right="0" w:hanging="0"/>
              <w:jc w:val="right"/>
              <w:rPr/>
            </w:pPr>
            <w:r>
              <w:rPr/>
              <w:t>—</w:t>
            </w:r>
          </w:p>
        </w:tc>
      </w:tr>
      <w:tr>
        <w:trPr/>
        <w:tc>
          <w:tcPr>
            <w:tcW w:w="47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payable- development and regulatory milestones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82,500</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82,500</w:t>
            </w:r>
          </w:p>
        </w:tc>
      </w:tr>
      <w:tr>
        <w:trPr/>
        <w:tc>
          <w:tcPr>
            <w:tcW w:w="47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payable- net sales milestones and royalties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81,500</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81,500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transfers of assets between Level 1, Level 2, or Level 3 of the fair value measurement hierarchy occurred during the periods ended June 30, 2023 and December 31,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marketable securities accounted for as available for sale debt securities at June 30, 2023 and December 31, 2022:</w:t>
      </w:r>
    </w:p>
    <w:p>
      <w:pPr>
        <w:pStyle w:val="TextBody"/>
        <w:bidi w:val="0"/>
        <w:spacing w:before="0" w:after="0"/>
        <w:ind w:left="0" w:right="0" w:hanging="0"/>
        <w:jc w:val="left"/>
        <w:rPr/>
      </w:pPr>
      <w:r>
        <w:rPr/>
        <w:t>​</w:t>
      </w:r>
    </w:p>
    <w:tbl>
      <w:tblPr>
        <w:tblW w:w="6456" w:type="dxa"/>
        <w:jc w:val="left"/>
        <w:tblInd w:w="0" w:type="dxa"/>
        <w:tblLayout w:type="fixed"/>
        <w:tblCellMar>
          <w:top w:w="0" w:type="dxa"/>
          <w:left w:w="0" w:type="dxa"/>
          <w:bottom w:w="0" w:type="dxa"/>
          <w:right w:w="0" w:type="dxa"/>
        </w:tblCellMar>
      </w:tblPr>
      <w:tblGrid>
        <w:gridCol w:w="2146"/>
        <w:gridCol w:w="326"/>
        <w:gridCol w:w="235"/>
        <w:gridCol w:w="636"/>
        <w:gridCol w:w="326"/>
        <w:gridCol w:w="211"/>
        <w:gridCol w:w="346"/>
        <w:gridCol w:w="326"/>
        <w:gridCol w:w="211"/>
        <w:gridCol w:w="436"/>
        <w:gridCol w:w="326"/>
        <w:gridCol w:w="218"/>
        <w:gridCol w:w="713"/>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62710" cy="175260"/>
                      <wp:effectExtent l="0" t="0" r="0" b="0"/>
                      <wp:wrapNone/>
                      <wp:docPr id="178" name="Frame178"/>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49225" cy="175260"/>
                      <wp:effectExtent l="0" t="0" r="0" b="0"/>
                      <wp:wrapNone/>
                      <wp:docPr id="180" name="Frame18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03860" cy="175260"/>
                      <wp:effectExtent l="0" t="0" r="0" b="0"/>
                      <wp:wrapNone/>
                      <wp:docPr id="181" name="Frame181"/>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76860" cy="175260"/>
                      <wp:effectExtent l="0" t="0" r="0" b="0"/>
                      <wp:wrapNone/>
                      <wp:docPr id="187" name="Frame18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8430" cy="175260"/>
                      <wp:effectExtent l="0" t="0" r="0" b="0"/>
                      <wp:wrapNone/>
                      <wp:docPr id="189" name="Frame18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52755" cy="175260"/>
                      <wp:effectExtent l="0" t="0" r="0" b="0"/>
                      <wp:wrapNone/>
                      <wp:docPr id="190" name="Frame190"/>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8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1"/>
              <w:ind w:left="0" w:right="0" w:hanging="0"/>
              <w:jc w:val="left"/>
              <w:rPr/>
            </w:pPr>
            <w:r>
              <w:rPr/>
              <w:t> </w:t>
            </w:r>
          </w:p>
        </w:tc>
        <w:tc>
          <w:tcPr>
            <w:tcW w:w="15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1,605</w:t>
            </w:r>
          </w:p>
        </w:tc>
      </w:tr>
    </w:tbl>
    <w:p>
      <w:pPr>
        <w:pStyle w:val="TextBody"/>
        <w:bidi w:val="0"/>
        <w:spacing w:before="0" w:after="240"/>
        <w:ind w:left="0" w:right="0" w:hanging="0"/>
        <w:jc w:val="both"/>
        <w:rPr/>
      </w:pPr>
      <w:r>
        <w:rPr/>
        <w:t>​</w:t>
      </w:r>
    </w:p>
    <w:tbl>
      <w:tblPr>
        <w:tblW w:w="6650" w:type="dxa"/>
        <w:jc w:val="left"/>
        <w:tblInd w:w="0" w:type="dxa"/>
        <w:tblLayout w:type="fixed"/>
        <w:tblCellMar>
          <w:top w:w="0" w:type="dxa"/>
          <w:left w:w="0" w:type="dxa"/>
          <w:bottom w:w="0" w:type="dxa"/>
          <w:right w:w="0" w:type="dxa"/>
        </w:tblCellMar>
      </w:tblPr>
      <w:tblGrid>
        <w:gridCol w:w="2146"/>
        <w:gridCol w:w="326"/>
        <w:gridCol w:w="211"/>
        <w:gridCol w:w="676"/>
        <w:gridCol w:w="326"/>
        <w:gridCol w:w="211"/>
        <w:gridCol w:w="346"/>
        <w:gridCol w:w="326"/>
        <w:gridCol w:w="211"/>
        <w:gridCol w:w="541"/>
        <w:gridCol w:w="326"/>
        <w:gridCol w:w="211"/>
        <w:gridCol w:w="793"/>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62710" cy="175260"/>
                      <wp:effectExtent l="0" t="0" r="0" b="0"/>
                      <wp:wrapNone/>
                      <wp:docPr id="191" name="Frame19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29260" cy="175260"/>
                      <wp:effectExtent l="0" t="0" r="0" b="0"/>
                      <wp:wrapNone/>
                      <wp:docPr id="194" name="Frame1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43535" cy="175260"/>
                      <wp:effectExtent l="0" t="0" r="0" b="0"/>
                      <wp:wrapNone/>
                      <wp:docPr id="200" name="Frame20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03555" cy="175260"/>
                      <wp:effectExtent l="0" t="0" r="0" b="0"/>
                      <wp:wrapNone/>
                      <wp:docPr id="203" name="Frame20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7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1"/>
              <w:ind w:left="0" w:right="0" w:hanging="0"/>
              <w:jc w:val="left"/>
              <w:rPr/>
            </w:pPr>
            <w:r>
              <w:rPr/>
              <w:t> </w:t>
            </w:r>
          </w:p>
        </w:tc>
        <w:tc>
          <w:tcPr>
            <w:tcW w:w="16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12,424</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10,186</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22,610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For the three and six months ended June 30, 2023, no write downs occurred. The Company does not intend to sell the investments and it is not more likely than not that the Company will be required to sell the investments before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93" w:name="Tc_mvRlCLPHW0y5OqlLk2Ggnw_6_5"/>
      <w:bookmarkStart w:id="1194" w:name="Tc_LuWsNRaRtkSp9QXjM-1tCA_6_2"/>
      <w:bookmarkStart w:id="1195" w:name="Tc_Ax7uCU1Z1U2LkakO5proLQ_6_0"/>
      <w:bookmarkStart w:id="1196" w:name="Tc_Vq4XZvgVhUKuyACCzeAqqQ_5_3"/>
      <w:bookmarkStart w:id="1197" w:name="Tc_jEgijWTS6k-IfzI2wb3iuw_5_0"/>
      <w:bookmarkStart w:id="1198" w:name="Tc_OH0XCYn4pE-7tjvwB6dj_w_4_6"/>
      <w:bookmarkStart w:id="1199" w:name="Tc_FwHJRYYhl0GXRe9SFCze-Q_4_5"/>
      <w:bookmarkStart w:id="1200" w:name="Tc_q2VD7mXCPk-dqiuVX6WRnw_4_2"/>
      <w:bookmarkStart w:id="1201" w:name="Tc_uOYDAgXkOkan2huUd2KCQg_4_0"/>
      <w:bookmarkStart w:id="1202" w:name="Tc_YSBollQtNUmzHP38xSYNpw_3_5"/>
      <w:bookmarkStart w:id="1203" w:name="Tc_v5K38G01BEW_ExVw25pDBg_3_2"/>
      <w:bookmarkStart w:id="1204" w:name="Tc_s7f5UAKRS0uXjl41z-pfJA_2_5"/>
      <w:bookmarkStart w:id="1205" w:name="Tc_QMjZ9-1a6kmEJsRr7R3aAw_2_2"/>
      <w:bookmarkStart w:id="1206" w:name="Tc_uUkHl2Me2Em6NQNgWklSJA_1_2"/>
      <w:bookmarkStart w:id="1207" w:name="_8f689856_678d_437f_ac7e_704cb37b55a6"/>
      <w:bookmarkStart w:id="1208" w:name="Tc__VpGkV3dXkyox8xEbyAuqg_5_6"/>
      <w:bookmarkStart w:id="1209" w:name="Tc_Gur-BolaOEyX7wocd9d0UQ_5_5"/>
      <w:bookmarkStart w:id="1210" w:name="Tc_7jy8GdzUUkqNiPzDOYtGvQ_5_2"/>
      <w:bookmarkStart w:id="1211" w:name="Tc_IHlEjU5PSEGMeeWTXyeAhA_5_0"/>
      <w:bookmarkStart w:id="1212" w:name="Tc_tOJdGKyOaU-cU8U2yizX2g_4_6"/>
      <w:bookmarkStart w:id="1213" w:name="Tc_AmCGb8268E6hZTA_a0EKdg_4_5"/>
      <w:bookmarkStart w:id="1214" w:name="Tc_eBMO-gLNtEKBtlvzYKA-Pw_4_2"/>
      <w:bookmarkStart w:id="1215" w:name="Tc_x0FBWCUngEStMqOfVyLI7Q_4_0"/>
      <w:bookmarkStart w:id="1216" w:name="Tc_tvlIdwQU6Umx5Rm0ogfryA_3_5"/>
      <w:bookmarkStart w:id="1217" w:name="Tc_bdqqlgRCMU64vh7sXy4jvA_3_2"/>
      <w:bookmarkStart w:id="1218" w:name="Tc_Dsz8NVn3LkStAyi7-OgsxQ_2_5"/>
      <w:bookmarkStart w:id="1219" w:name="Tc_MyVoroLGQ0G6gUE8PUpGhQ_2_2"/>
      <w:bookmarkStart w:id="1220" w:name="Tc_5VNvk7eap0OLp_UE7eePWw_1_2"/>
      <w:bookmarkStart w:id="1221" w:name="_b8d425b1_0879_4c37_af16_4faaf9dbc581"/>
      <w:bookmarkStart w:id="1222" w:name="Tc_ROzfLTfBnEKkex7DFu1RYw_6_17"/>
      <w:bookmarkStart w:id="1223" w:name="Tc_FacyEL2tB0u9ioXdWf7_Qg_6_14"/>
      <w:bookmarkStart w:id="1224" w:name="Tc__mV4Vm0xOUC2593gg1E56Q_6_11"/>
      <w:bookmarkStart w:id="1225" w:name="Tc_ONVKzVfNWEaUeOYpyVGMIg_6_8"/>
      <w:bookmarkStart w:id="1226" w:name="Tc_JDTbVzXSdk-7DzEQznleLw_6_6"/>
      <w:bookmarkStart w:id="1227" w:name="Tc_lsZVc_AY-EuTvvfsOyn24Q_6_5"/>
      <w:bookmarkStart w:id="1228" w:name="Tc_5o2olmTuk06C_IvpCEJ4VQ_6_3"/>
      <w:bookmarkStart w:id="1229" w:name="Tc_IBdBDDT-BkyRxxQoOLEztA_6_2"/>
      <w:bookmarkStart w:id="1230" w:name="Tc_Mwx0N79Uh0-b91rlATqLKA_6_0"/>
      <w:bookmarkStart w:id="1231" w:name="Tc_t4My_c3A2UGoozPC4PjnaQ_5_17"/>
      <w:bookmarkStart w:id="1232" w:name="Tc_Xq918KE5wEut2cZTDT5hcw_5_6"/>
      <w:bookmarkStart w:id="1233" w:name="Tc_bAfFc0AdakyohZ-pHfazkg_5_3"/>
      <w:bookmarkStart w:id="1234" w:name="Tc_W89jI5rQc0mIUyXEptqKhw_5_2"/>
      <w:bookmarkStart w:id="1235" w:name="Tc_vwlLvAGljkOyyFEzmIw3pg_5_0"/>
      <w:bookmarkStart w:id="1236" w:name="Tc_w-C9Oa6fbkeTHLG4RW6Lrg_4_17"/>
      <w:bookmarkStart w:id="1237" w:name="Tc_UV1upAAiD0OPfm6BcnQhYA_4_14"/>
      <w:bookmarkStart w:id="1238" w:name="Tc_7AbLLkoWj0y4e8LBjrE8mA_4_11"/>
      <w:bookmarkStart w:id="1239" w:name="Tc_YhQZIEK8_USSOWl3--pVuA_4_8"/>
      <w:bookmarkStart w:id="1240" w:name="Tc_a_ujvmAyOU-pFECQQF1PJg_4_5"/>
      <w:bookmarkStart w:id="1241" w:name="Tc_uNXmuTzgrU2kbi3XbZlMIQ_4_2"/>
      <w:bookmarkStart w:id="1242" w:name="Tc_7368pVjZVUCf9iUzJM297Q_3_14"/>
      <w:bookmarkStart w:id="1243" w:name="Tc_neaWkZm3_km8_E-K1oBBSg_3_8"/>
      <w:bookmarkStart w:id="1244" w:name="Tc_8a2qE1etjUSwwMVVRPfX6A_3_2"/>
      <w:bookmarkStart w:id="1245" w:name="Tc_lHaIBBbQdEerkikFzn_QCw_2_8"/>
      <w:bookmarkStart w:id="1246" w:name="Tc_8ouyD_5dWE69grd7k7KRGg_2_2"/>
      <w:bookmarkStart w:id="1247" w:name="Tc__VBy_ygNEk-6cEzXobIfxA_1_2"/>
      <w:bookmarkStart w:id="1248" w:name="Tc_Sdjp0tqcL0uf0y5BF-sueQ_6_17"/>
      <w:bookmarkStart w:id="1249" w:name="Tc_hiiOWseUhU-64ENxi46RYg_6_14"/>
      <w:bookmarkStart w:id="1250" w:name="Tc_jeooRXSloUSX8dN_s2Zjfw_6_11"/>
      <w:bookmarkStart w:id="1251" w:name="Tc_l5KhBxmeLUOBWKKeB-1BMw_6_8"/>
      <w:bookmarkStart w:id="1252" w:name="Tc_pGxV5vvuBUGnoi0hAmiSRg_6_6"/>
      <w:bookmarkStart w:id="1253" w:name="Tc_tvdvRKZXMkWQJhOksJ587w_6_5"/>
      <w:bookmarkStart w:id="1254" w:name="Tc_FBsJ2Qk5UEq5pTVCwroiOw_6_3"/>
      <w:bookmarkStart w:id="1255" w:name="Tc_c4R5yC7cHUGFvJMZDgb2_Q_6_2"/>
      <w:bookmarkStart w:id="1256" w:name="Tc_XRkJ6sY_00W5COoO05HmgA_6_0"/>
      <w:bookmarkStart w:id="1257" w:name="Tc_1NKXLSI67kOIg2rnNlHhtA_5_17"/>
      <w:bookmarkStart w:id="1258" w:name="Tc_CesjmC5Q5EyJrjmctvEkbw_5_6"/>
      <w:bookmarkStart w:id="1259" w:name="Tc_dxU4w86BpE6y8-A0mtS4MA_5_3"/>
      <w:bookmarkStart w:id="1260" w:name="Tc_nKpMbi-tJkGh_l6yv_DOpw_5_2"/>
      <w:bookmarkStart w:id="1261" w:name="Tc_tmySL45otEmFpo5QfxufRg_5_0"/>
      <w:bookmarkStart w:id="1262" w:name="Tc_NzagRInCZEqGwtChuEyBTQ_4_17"/>
      <w:bookmarkStart w:id="1263" w:name="Tc_JJifvqIPcEidp3H46xdGHA_4_14"/>
      <w:bookmarkStart w:id="1264" w:name="Tc_C4hd5fKUYUqFtiaXWi1SOA_4_11"/>
      <w:bookmarkStart w:id="1265" w:name="Tc_jPNLtxEnv026BNvR-UdfdA_4_8"/>
      <w:bookmarkStart w:id="1266" w:name="Tc_KJxpbERDKUKzOb9QYfK01A_4_5"/>
      <w:bookmarkStart w:id="1267" w:name="Tc_Q_u9tc8hnE2DNIumGx0Heg_4_2"/>
      <w:bookmarkStart w:id="1268" w:name="Tc_HbVoqBwDcE6GLet-TvSSAw_3_14"/>
      <w:bookmarkStart w:id="1269" w:name="Tc_1k5SkS06hEeGuLsrP3-OiQ_3_8"/>
      <w:bookmarkStart w:id="1270" w:name="Tc_9-v2sIq-FkGhk8yoSPGvLQ_3_2"/>
      <w:bookmarkStart w:id="1271" w:name="Tc_8bt1jO03Z0ezXyJcv5yPXQ_2_8"/>
      <w:bookmarkStart w:id="1272" w:name="Tc_5rqsTw-1IkG7swXIsdJFZg_2_2"/>
      <w:bookmarkStart w:id="1273" w:name="Tc_HtLM6rPF4EubCYxLmA96fg_1_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r>
        <w:rPr>
          <w:rFonts w:ascii="Times New Roman;Times;serif" w:hAnsi="Times New Roman;Times;serif"/>
          <w:sz w:val="20"/>
        </w:rPr>
        <w:t xml:space="preserve">recovery of their amortized cost basis, which may be maturity. The Company also reviews its available for sale debt securities in an unrealized loss position and evaluates whether the decline in fair value has resulted from credit losses or other factors. This review is subjective, as it requires management to evaluate whether an event or change in circumstances has occurred in that period that may be related to credit issues. For the three and six months ended June 30, 2023, no allowance was recorded for credit losses. Unrealized gains and losses are reported as a component of accumulated other comprehensive (loss) income in stockholders’ equity.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2023, the Company had $0.3 million and $0.3 million realized losses from the sale of available for sale debt securities, respectively. For the three and six months ended June 30, 2022, the Company had $0.3 million and $0.4 million realized losses from the sale of available for sale debt securities, respectively.  Realized gains and losses are reported as a component of interest expense, net in the consolidated statement of operations. </w:t>
      </w:r>
      <w:r>
        <w:rPr>
          <w:rFonts w:ascii="Times New Roman;Times;serif" w:hAnsi="Times New Roman;Times;serif"/>
          <w:sz w:val="20"/>
          <w:shd w:fill="FFFFFF" w:val="clear"/>
        </w:rPr>
        <w:t>Reclassified amounts from other comprehensive items were determined using the actual realized gains and losses from the sales of marketable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unrealized losses and fair values of available for sale debt securities that have been in an unrealized loss position for a period of less than and greater than or equal to 12 months as of June 30, 2023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4"/>
        <w:gridCol w:w="266"/>
        <w:gridCol w:w="500"/>
        <w:gridCol w:w="821"/>
        <w:gridCol w:w="442"/>
        <w:gridCol w:w="351"/>
        <w:gridCol w:w="577"/>
        <w:gridCol w:w="266"/>
        <w:gridCol w:w="474"/>
        <w:gridCol w:w="847"/>
        <w:gridCol w:w="413"/>
        <w:gridCol w:w="328"/>
        <w:gridCol w:w="890"/>
        <w:gridCol w:w="266"/>
        <w:gridCol w:w="474"/>
        <w:gridCol w:w="847"/>
        <w:gridCol w:w="266"/>
        <w:gridCol w:w="218"/>
        <w:gridCol w:w="715"/>
      </w:tblGrid>
      <w:tr>
        <w:trPr/>
        <w:tc>
          <w:tcPr>
            <w:tcW w:w="1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89940" cy="175260"/>
                      <wp:effectExtent l="0" t="0" r="0" b="0"/>
                      <wp:wrapNone/>
                      <wp:docPr id="204" name="Frame204"/>
                      <a:graphic xmlns:a="http://schemas.openxmlformats.org/drawingml/2006/main">
                        <a:graphicData uri="http://schemas.microsoft.com/office/word/2010/wordprocessingShape">
                          <wps:wsp>
                            <wps:cNvSpPr txBox="1"/>
                            <wps:spPr>
                              <a:xfrm>
                                <a:off x="0" y="0"/>
                                <a:ext cx="789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8910" cy="175260"/>
                      <wp:effectExtent l="0" t="0" r="0" b="0"/>
                      <wp:wrapNone/>
                      <wp:docPr id="205" name="Frame20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17500" cy="175260"/>
                      <wp:effectExtent l="0" t="0" r="0" b="0"/>
                      <wp:wrapNone/>
                      <wp:docPr id="206" name="Frame206"/>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21335" cy="175260"/>
                      <wp:effectExtent l="0" t="0" r="0" b="0"/>
                      <wp:wrapNone/>
                      <wp:docPr id="207" name="Frame207"/>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80670" cy="175260"/>
                      <wp:effectExtent l="0" t="0" r="0" b="0"/>
                      <wp:wrapNone/>
                      <wp:docPr id="208" name="Frame20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22885" cy="175260"/>
                      <wp:effectExtent l="0" t="0" r="0" b="0"/>
                      <wp:wrapNone/>
                      <wp:docPr id="209" name="Frame209"/>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66395" cy="175260"/>
                      <wp:effectExtent l="0" t="0" r="0" b="0"/>
                      <wp:wrapNone/>
                      <wp:docPr id="210" name="Frame210"/>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68910" cy="175260"/>
                      <wp:effectExtent l="0" t="0" r="0" b="0"/>
                      <wp:wrapNone/>
                      <wp:docPr id="211" name="Frame21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00990" cy="175260"/>
                      <wp:effectExtent l="0" t="0" r="0" b="0"/>
                      <wp:wrapNone/>
                      <wp:docPr id="212" name="Frame212"/>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37845" cy="175260"/>
                      <wp:effectExtent l="0" t="0" r="0" b="0"/>
                      <wp:wrapNone/>
                      <wp:docPr id="213" name="Frame213"/>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62255" cy="175260"/>
                      <wp:effectExtent l="0" t="0" r="0" b="0"/>
                      <wp:wrapNone/>
                      <wp:docPr id="214" name="Frame214"/>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8280" cy="175260"/>
                      <wp:effectExtent l="0" t="0" r="0" b="0"/>
                      <wp:wrapNone/>
                      <wp:docPr id="215" name="Frame21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65150" cy="175260"/>
                      <wp:effectExtent l="0" t="0" r="0" b="0"/>
                      <wp:wrapNone/>
                      <wp:docPr id="216" name="Frame216"/>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68910" cy="175260"/>
                      <wp:effectExtent l="0" t="0" r="0" b="0"/>
                      <wp:wrapNone/>
                      <wp:docPr id="217" name="Frame21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00990" cy="175260"/>
                      <wp:effectExtent l="0" t="0" r="0" b="0"/>
                      <wp:wrapNone/>
                      <wp:docPr id="218" name="Frame218"/>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37845" cy="175260"/>
                      <wp:effectExtent l="0" t="0" r="0" b="0"/>
                      <wp:wrapNone/>
                      <wp:docPr id="219" name="Frame219"/>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8910" cy="175260"/>
                      <wp:effectExtent l="0" t="0" r="0" b="0"/>
                      <wp:wrapNone/>
                      <wp:docPr id="220" name="Frame22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8430" cy="175260"/>
                      <wp:effectExtent l="0" t="0" r="0" b="0"/>
                      <wp:wrapNone/>
                      <wp:docPr id="221" name="Frame22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54025" cy="175260"/>
                      <wp:effectExtent l="0" t="0" r="0" b="0"/>
                      <wp:wrapNone/>
                      <wp:docPr id="222" name="Frame222"/>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69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124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69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66" w:type="dxa"/>
            <w:tcBorders/>
            <w:vAlign w:val="center"/>
          </w:tcPr>
          <w:p>
            <w:pPr>
              <w:pStyle w:val="TableContents"/>
              <w:bidi w:val="0"/>
              <w:spacing w:before="0" w:after="0"/>
              <w:ind w:left="0" w:right="0" w:hanging="0"/>
              <w:jc w:val="left"/>
              <w:rPr/>
            </w:pPr>
            <w:r>
              <w:rPr/>
              <w:t> </w:t>
            </w:r>
          </w:p>
        </w:tc>
        <w:tc>
          <w:tcPr>
            <w:tcW w:w="295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66"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pPr>
            <w:r>
              <w:rPr/>
              <w:t>​</w:t>
            </w:r>
          </w:p>
        </w:tc>
      </w:tr>
      <w:tr>
        <w:trPr/>
        <w:tc>
          <w:tcPr>
            <w:tcW w:w="124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6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less than 12 months</w:t>
            </w:r>
          </w:p>
        </w:tc>
        <w:tc>
          <w:tcPr>
            <w:tcW w:w="266" w:type="dxa"/>
            <w:tcBorders/>
            <w:vAlign w:val="center"/>
          </w:tcPr>
          <w:p>
            <w:pPr>
              <w:pStyle w:val="TableContents"/>
              <w:bidi w:val="0"/>
              <w:spacing w:before="0" w:after="0"/>
              <w:ind w:left="0" w:right="0" w:hanging="0"/>
              <w:jc w:val="left"/>
              <w:rPr/>
            </w:pPr>
            <w:r>
              <w:rPr/>
              <w:t> </w:t>
            </w:r>
          </w:p>
        </w:tc>
        <w:tc>
          <w:tcPr>
            <w:tcW w:w="29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greater than or equal to 12 months</w:t>
            </w:r>
          </w:p>
        </w:tc>
        <w:tc>
          <w:tcPr>
            <w:tcW w:w="266" w:type="dxa"/>
            <w:tcBorders/>
            <w:vAlign w:val="center"/>
          </w:tcPr>
          <w:p>
            <w:pPr>
              <w:pStyle w:val="TableContents"/>
              <w:bidi w:val="0"/>
              <w:spacing w:before="0" w:after="0"/>
              <w:ind w:left="0" w:right="0" w:hanging="0"/>
              <w:jc w:val="left"/>
              <w:rPr/>
            </w:pPr>
            <w:r>
              <w:rPr/>
              <w:t>​</w:t>
            </w:r>
          </w:p>
        </w:tc>
        <w:tc>
          <w:tcPr>
            <w:tcW w:w="25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4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442" w:type="dxa"/>
            <w:tcBorders/>
            <w:vAlign w:val="center"/>
          </w:tcPr>
          <w:p>
            <w:pPr>
              <w:pStyle w:val="TableContents"/>
              <w:bidi w:val="0"/>
              <w:spacing w:before="0" w:after="0"/>
              <w:ind w:left="0" w:right="0" w:hanging="0"/>
              <w:jc w:val="left"/>
              <w:rPr/>
            </w:pPr>
            <w:r>
              <w:rPr/>
              <w:t>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413" w:type="dxa"/>
            <w:tcBorders/>
            <w:vAlign w:val="center"/>
          </w:tcPr>
          <w:p>
            <w:pPr>
              <w:pStyle w:val="TableContents"/>
              <w:bidi w:val="0"/>
              <w:spacing w:before="0" w:after="0"/>
              <w:ind w:left="0" w:right="0" w:hanging="0"/>
              <w:jc w:val="left"/>
              <w:rPr/>
            </w:pPr>
            <w:r>
              <w:rPr/>
              <w:t>   </w:t>
            </w:r>
          </w:p>
        </w:tc>
        <w:tc>
          <w:tcPr>
            <w:tcW w:w="1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266" w:type="dxa"/>
            <w:tcBorders/>
            <w:vAlign w:val="center"/>
          </w:tcPr>
          <w:p>
            <w:pPr>
              <w:pStyle w:val="TableContents"/>
              <w:bidi w:val="0"/>
              <w:spacing w:before="0" w:after="0"/>
              <w:ind w:left="0" w:right="0" w:hanging="0"/>
              <w:jc w:val="left"/>
              <w:rPr/>
            </w:pPr>
            <w:r>
              <w:rPr/>
              <w:t>   </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266" w:type="dxa"/>
            <w:tcBorders/>
            <w:shd w:fill="CCEEFF" w:val="clear"/>
            <w:vAlign w:val="center"/>
          </w:tcPr>
          <w:p>
            <w:pPr>
              <w:pStyle w:val="TableContents"/>
              <w:bidi w:val="0"/>
              <w:spacing w:before="0" w:after="0"/>
              <w:ind w:left="0" w:right="0" w:hanging="0"/>
              <w:jc w:val="left"/>
              <w:rPr/>
            </w:pPr>
            <w:r>
              <w:rPr/>
              <w:t>​</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13"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c>
          <w:tcPr>
            <w:tcW w:w="266" w:type="dxa"/>
            <w:tcBorders/>
            <w:shd w:fill="CCEEFF" w:val="clear"/>
            <w:vAlign w:val="center"/>
          </w:tcPr>
          <w:p>
            <w:pPr>
              <w:pStyle w:val="TableContents"/>
              <w:bidi w:val="0"/>
              <w:spacing w:before="0" w:after="0"/>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6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r>
      <w:tr>
        <w:trPr/>
        <w:tc>
          <w:tcPr>
            <w:tcW w:w="1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66" w:type="dxa"/>
            <w:tcBorders/>
            <w:vAlign w:val="center"/>
          </w:tcPr>
          <w:p>
            <w:pPr>
              <w:pStyle w:val="TableContents"/>
              <w:bidi w:val="0"/>
              <w:spacing w:before="0" w:after="0"/>
              <w:ind w:left="0" w:right="0" w:hanging="0"/>
              <w:jc w:val="left"/>
              <w:rPr/>
            </w:pPr>
            <w:r>
              <w:rPr/>
              <w:t>​</w:t>
            </w:r>
          </w:p>
        </w:tc>
        <w:tc>
          <w:tcPr>
            <w:tcW w:w="5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left"/>
              <w:rPr/>
            </w:pPr>
            <w:r>
              <w:rPr/>
              <w:t>​</w:t>
            </w:r>
          </w:p>
        </w:tc>
        <w:tc>
          <w:tcPr>
            <w:tcW w:w="3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13"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c>
          <w:tcPr>
            <w:tcW w:w="266" w:type="dxa"/>
            <w:tcBorders/>
            <w:vAlign w:val="center"/>
          </w:tcPr>
          <w:p>
            <w:pPr>
              <w:pStyle w:val="TableContents"/>
              <w:bidi w:val="0"/>
              <w:spacing w:before="0" w:after="0"/>
              <w:ind w:left="0" w:right="0" w:hanging="0"/>
              <w:jc w:val="left"/>
              <w:rPr/>
            </w:pPr>
            <w:r>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6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1,605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unrealized losses and fair values of available for sale debt securities that have been in an unrealized loss position for a period of less than and greater than or equal to 12 months as of December 31, 2022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22"/>
        <w:gridCol w:w="266"/>
        <w:gridCol w:w="500"/>
        <w:gridCol w:w="821"/>
        <w:gridCol w:w="442"/>
        <w:gridCol w:w="351"/>
        <w:gridCol w:w="577"/>
        <w:gridCol w:w="266"/>
        <w:gridCol w:w="402"/>
        <w:gridCol w:w="919"/>
        <w:gridCol w:w="364"/>
        <w:gridCol w:w="288"/>
        <w:gridCol w:w="928"/>
        <w:gridCol w:w="266"/>
        <w:gridCol w:w="402"/>
        <w:gridCol w:w="919"/>
        <w:gridCol w:w="266"/>
        <w:gridCol w:w="211"/>
        <w:gridCol w:w="795"/>
      </w:tblGrid>
      <w:tr>
        <w:trPr/>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75970" cy="175260"/>
                      <wp:effectExtent l="0" t="0" r="0" b="0"/>
                      <wp:wrapNone/>
                      <wp:docPr id="223" name="Frame223"/>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68910" cy="175260"/>
                      <wp:effectExtent l="0" t="0" r="0" b="0"/>
                      <wp:wrapNone/>
                      <wp:docPr id="224" name="Frame22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17500" cy="175260"/>
                      <wp:effectExtent l="0" t="0" r="0" b="0"/>
                      <wp:wrapNone/>
                      <wp:docPr id="225" name="Frame225"/>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21335" cy="175260"/>
                      <wp:effectExtent l="0" t="0" r="0" b="0"/>
                      <wp:wrapNone/>
                      <wp:docPr id="226" name="Frame226"/>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80670" cy="175260"/>
                      <wp:effectExtent l="0" t="0" r="0" b="0"/>
                      <wp:wrapNone/>
                      <wp:docPr id="227" name="Frame22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22885" cy="175260"/>
                      <wp:effectExtent l="0" t="0" r="0" b="0"/>
                      <wp:wrapNone/>
                      <wp:docPr id="228" name="Frame228"/>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66395" cy="175260"/>
                      <wp:effectExtent l="0" t="0" r="0" b="0"/>
                      <wp:wrapNone/>
                      <wp:docPr id="229" name="Frame229"/>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8910" cy="175260"/>
                      <wp:effectExtent l="0" t="0" r="0" b="0"/>
                      <wp:wrapNone/>
                      <wp:docPr id="230" name="Frame23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55270" cy="175260"/>
                      <wp:effectExtent l="0" t="0" r="0" b="0"/>
                      <wp:wrapNone/>
                      <wp:docPr id="231" name="Frame231"/>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83565" cy="175260"/>
                      <wp:effectExtent l="0" t="0" r="0" b="0"/>
                      <wp:wrapNone/>
                      <wp:docPr id="232" name="Frame232"/>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31140" cy="175260"/>
                      <wp:effectExtent l="0" t="0" r="0" b="0"/>
                      <wp:wrapNone/>
                      <wp:docPr id="233" name="Frame233"/>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82880" cy="175260"/>
                      <wp:effectExtent l="0" t="0" r="0" b="0"/>
                      <wp:wrapNone/>
                      <wp:docPr id="234" name="Frame234"/>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89280" cy="175260"/>
                      <wp:effectExtent l="0" t="0" r="0" b="0"/>
                      <wp:wrapNone/>
                      <wp:docPr id="235" name="Frame235"/>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68910" cy="175260"/>
                      <wp:effectExtent l="0" t="0" r="0" b="0"/>
                      <wp:wrapNone/>
                      <wp:docPr id="236" name="Frame23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55270" cy="175260"/>
                      <wp:effectExtent l="0" t="0" r="0" b="0"/>
                      <wp:wrapNone/>
                      <wp:docPr id="237" name="Frame237"/>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83565" cy="175260"/>
                      <wp:effectExtent l="0" t="0" r="0" b="0"/>
                      <wp:wrapNone/>
                      <wp:docPr id="238" name="Frame238"/>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68910" cy="175260"/>
                      <wp:effectExtent l="0" t="0" r="0" b="0"/>
                      <wp:wrapNone/>
                      <wp:docPr id="239" name="Frame23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04825" cy="175260"/>
                      <wp:effectExtent l="0" t="0" r="0" b="0"/>
                      <wp:wrapNone/>
                      <wp:docPr id="241" name="Frame241"/>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2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717"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22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69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66" w:type="dxa"/>
            <w:tcBorders/>
            <w:vAlign w:val="center"/>
          </w:tcPr>
          <w:p>
            <w:pPr>
              <w:pStyle w:val="TableContents"/>
              <w:bidi w:val="0"/>
              <w:spacing w:before="0" w:after="0"/>
              <w:ind w:left="0" w:right="0" w:hanging="0"/>
              <w:jc w:val="left"/>
              <w:rPr/>
            </w:pPr>
            <w:r>
              <w:rPr/>
              <w:t> </w:t>
            </w:r>
          </w:p>
        </w:tc>
        <w:tc>
          <w:tcPr>
            <w:tcW w:w="290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in an unrealized loss</w:t>
            </w:r>
          </w:p>
        </w:tc>
        <w:tc>
          <w:tcPr>
            <w:tcW w:w="26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center"/>
              <w:rPr/>
            </w:pPr>
            <w:r>
              <w:rPr/>
              <w:t>​</w:t>
            </w:r>
          </w:p>
        </w:tc>
      </w:tr>
      <w:tr>
        <w:trPr/>
        <w:tc>
          <w:tcPr>
            <w:tcW w:w="122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6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less than 12 months</w:t>
            </w:r>
          </w:p>
        </w:tc>
        <w:tc>
          <w:tcPr>
            <w:tcW w:w="266" w:type="dxa"/>
            <w:tcBorders/>
            <w:vAlign w:val="center"/>
          </w:tcPr>
          <w:p>
            <w:pPr>
              <w:pStyle w:val="TableContents"/>
              <w:bidi w:val="0"/>
              <w:spacing w:before="0" w:after="0"/>
              <w:ind w:left="0" w:right="0" w:hanging="0"/>
              <w:jc w:val="left"/>
              <w:rPr/>
            </w:pPr>
            <w:r>
              <w:rPr/>
              <w:t> </w:t>
            </w:r>
          </w:p>
        </w:tc>
        <w:tc>
          <w:tcPr>
            <w:tcW w:w="290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greater than or equal to 12 months</w:t>
            </w:r>
          </w:p>
        </w:tc>
        <w:tc>
          <w:tcPr>
            <w:tcW w:w="266" w:type="dxa"/>
            <w:tcBorders/>
            <w:vAlign w:val="center"/>
          </w:tcPr>
          <w:p>
            <w:pPr>
              <w:pStyle w:val="TableContents"/>
              <w:bidi w:val="0"/>
              <w:spacing w:before="0" w:after="0"/>
              <w:ind w:left="0" w:right="0" w:hanging="0"/>
              <w:jc w:val="left"/>
              <w:rPr/>
            </w:pPr>
            <w:r>
              <w:rPr/>
              <w:t>​</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22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442" w:type="dxa"/>
            <w:tcBorders/>
            <w:vAlign w:val="center"/>
          </w:tcPr>
          <w:p>
            <w:pPr>
              <w:pStyle w:val="TableContents"/>
              <w:bidi w:val="0"/>
              <w:spacing w:before="0" w:after="0"/>
              <w:ind w:left="0" w:right="0" w:hanging="0"/>
              <w:jc w:val="left"/>
              <w:rPr/>
            </w:pPr>
            <w:r>
              <w:rPr/>
              <w:t>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364"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266" w:type="dxa"/>
            <w:tcBorders/>
            <w:vAlign w:val="center"/>
          </w:tcPr>
          <w:p>
            <w:pPr>
              <w:pStyle w:val="TableContents"/>
              <w:bidi w:val="0"/>
              <w:spacing w:before="0" w:after="0"/>
              <w:ind w:left="0" w:right="0" w:hanging="0"/>
              <w:jc w:val="left"/>
              <w:rPr/>
            </w:pPr>
            <w:r>
              <w:rPr/>
              <w:t>   </w:t>
            </w:r>
          </w:p>
        </w:tc>
        <w:tc>
          <w:tcPr>
            <w:tcW w:w="13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w:t>
            </w:r>
          </w:p>
        </w:tc>
        <w:tc>
          <w:tcPr>
            <w:tcW w:w="26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266" w:type="dxa"/>
            <w:tcBorders/>
            <w:shd w:fill="CCEEFF" w:val="clear"/>
            <w:vAlign w:val="center"/>
          </w:tcPr>
          <w:p>
            <w:pPr>
              <w:pStyle w:val="TableContents"/>
              <w:bidi w:val="0"/>
              <w:spacing w:before="0" w:after="0"/>
              <w:ind w:left="0" w:right="0" w:hanging="0"/>
              <w:jc w:val="left"/>
              <w:rPr/>
            </w:pPr>
            <w:r>
              <w:rPr/>
              <w:t>​</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64"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10,186</w:t>
            </w:r>
          </w:p>
        </w:tc>
        <w:tc>
          <w:tcPr>
            <w:tcW w:w="266" w:type="dxa"/>
            <w:tcBorders/>
            <w:shd w:fill="CCEEFF" w:val="clear"/>
            <w:vAlign w:val="center"/>
          </w:tcPr>
          <w:p>
            <w:pPr>
              <w:pStyle w:val="TableContents"/>
              <w:bidi w:val="0"/>
              <w:spacing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10,186</w:t>
            </w:r>
          </w:p>
        </w:tc>
      </w:tr>
      <w:tr>
        <w:trPr/>
        <w:tc>
          <w:tcPr>
            <w:tcW w:w="1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66" w:type="dxa"/>
            <w:tcBorders/>
            <w:vAlign w:val="center"/>
          </w:tcPr>
          <w:p>
            <w:pPr>
              <w:pStyle w:val="TableContents"/>
              <w:bidi w:val="0"/>
              <w:spacing w:before="0" w:after="0"/>
              <w:ind w:left="0" w:right="0" w:hanging="0"/>
              <w:jc w:val="left"/>
              <w:rPr/>
            </w:pPr>
            <w:r>
              <w:rPr/>
              <w:t>​</w:t>
            </w:r>
          </w:p>
        </w:tc>
        <w:tc>
          <w:tcPr>
            <w:tcW w:w="5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left"/>
              <w:rPr/>
            </w:pPr>
            <w:r>
              <w:rPr/>
              <w:t>​</w:t>
            </w:r>
          </w:p>
        </w:tc>
        <w:tc>
          <w:tcPr>
            <w:tcW w:w="3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64"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10,186</w:t>
            </w:r>
          </w:p>
        </w:tc>
        <w:tc>
          <w:tcPr>
            <w:tcW w:w="266" w:type="dxa"/>
            <w:tcBorders/>
            <w:vAlign w:val="center"/>
          </w:tcPr>
          <w:p>
            <w:pPr>
              <w:pStyle w:val="TableContents"/>
              <w:bidi w:val="0"/>
              <w:spacing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26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10,186</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Available for sale debt securities at June 30, 2023 and December 31, 2022 mature as follows:</w:t>
      </w:r>
    </w:p>
    <w:p>
      <w:pPr>
        <w:pStyle w:val="TextBody"/>
        <w:bidi w:val="0"/>
        <w:spacing w:before="0" w:after="240"/>
        <w:ind w:left="0" w:right="0" w:hanging="0"/>
        <w:jc w:val="both"/>
        <w:rPr/>
      </w:pPr>
      <w:r>
        <w:rPr/>
        <w:t>​</w:t>
      </w:r>
    </w:p>
    <w:tbl>
      <w:tblPr>
        <w:tblW w:w="4630" w:type="dxa"/>
        <w:jc w:val="left"/>
        <w:tblInd w:w="0" w:type="dxa"/>
        <w:tblLayout w:type="fixed"/>
        <w:tblCellMar>
          <w:top w:w="0" w:type="dxa"/>
          <w:left w:w="0" w:type="dxa"/>
          <w:bottom w:w="0" w:type="dxa"/>
          <w:right w:w="0" w:type="dxa"/>
        </w:tblCellMar>
      </w:tblPr>
      <w:tblGrid>
        <w:gridCol w:w="2146"/>
        <w:gridCol w:w="326"/>
        <w:gridCol w:w="234"/>
        <w:gridCol w:w="637"/>
        <w:gridCol w:w="326"/>
        <w:gridCol w:w="300"/>
        <w:gridCol w:w="66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62710" cy="175260"/>
                      <wp:effectExtent l="0" t="0" r="0" b="0"/>
                      <wp:wrapNone/>
                      <wp:docPr id="242" name="Frame242"/>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48590" cy="175260"/>
                      <wp:effectExtent l="0" t="0" r="0" b="0"/>
                      <wp:wrapNone/>
                      <wp:docPr id="244" name="Frame24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04495" cy="175260"/>
                      <wp:effectExtent l="0" t="0" r="0" b="0"/>
                      <wp:wrapNone/>
                      <wp:docPr id="245" name="Frame245"/>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90500" cy="175260"/>
                      <wp:effectExtent l="0" t="0" r="0" b="0"/>
                      <wp:wrapNone/>
                      <wp:docPr id="247" name="Frame247"/>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19735" cy="175260"/>
                      <wp:effectExtent l="0" t="0" r="0" b="0"/>
                      <wp:wrapNone/>
                      <wp:docPr id="248" name="Frame24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both"/>
        <w:rPr/>
      </w:pPr>
      <w:r>
        <w:rPr/>
        <w:t>​</w:t>
      </w:r>
    </w:p>
    <w:tbl>
      <w:tblPr>
        <w:tblW w:w="4689" w:type="dxa"/>
        <w:jc w:val="left"/>
        <w:tblInd w:w="0" w:type="dxa"/>
        <w:tblLayout w:type="fixed"/>
        <w:tblCellMar>
          <w:top w:w="0" w:type="dxa"/>
          <w:left w:w="0" w:type="dxa"/>
          <w:bottom w:w="0" w:type="dxa"/>
          <w:right w:w="0" w:type="dxa"/>
        </w:tblCellMar>
      </w:tblPr>
      <w:tblGrid>
        <w:gridCol w:w="2146"/>
        <w:gridCol w:w="326"/>
        <w:gridCol w:w="211"/>
        <w:gridCol w:w="676"/>
        <w:gridCol w:w="326"/>
        <w:gridCol w:w="211"/>
        <w:gridCol w:w="793"/>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62710" cy="175260"/>
                      <wp:effectExtent l="0" t="0" r="0" b="0"/>
                      <wp:wrapNone/>
                      <wp:docPr id="249" name="Frame249"/>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29260" cy="175260"/>
                      <wp:effectExtent l="0" t="0" r="0" b="0"/>
                      <wp:wrapNone/>
                      <wp:docPr id="252" name="Frame2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03555" cy="175260"/>
                      <wp:effectExtent l="0" t="0" r="0" b="0"/>
                      <wp:wrapNone/>
                      <wp:docPr id="255" name="Frame25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w:t>
            </w:r>
          </w:p>
        </w:tc>
        <w:tc>
          <w:tcPr>
            <w:tcW w:w="326"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12 Months</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10,186</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10,186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classifies all of its marketable securities as current as they are all either available for sale debt securities or equity investments and are available for current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274" w:name="Tc_s-2VOeyeMkGZppK4j2Zbag_9_5"/>
      <w:bookmarkStart w:id="1275" w:name="Tc_rw1ZV3hFWkyZemdZRbppkQ_9_2"/>
      <w:bookmarkStart w:id="1276" w:name="Tc_Mde6aFGVYUy_EKfs_7Rp6A_9_0"/>
      <w:bookmarkStart w:id="1277" w:name="Tc_mXOx_muySUKT4_RCbyvWeg_8_0"/>
      <w:bookmarkStart w:id="1278" w:name="Tc_35PgVFkDL0C80cFskVi4Kg_7_0"/>
      <w:bookmarkStart w:id="1279" w:name="Tc_v5-ha8H_G0KDpkuVWfswSA_6_0"/>
      <w:bookmarkStart w:id="1280" w:name="Tc_YqENRBZEUES9AYfuQy-fwA_5_5"/>
      <w:bookmarkStart w:id="1281" w:name="Tc_xUWPBie_L0G2a5vDgdqE_A_5_2"/>
      <w:bookmarkStart w:id="1282" w:name="Tc_NgcvafB9dkaufpmzJ7yMKA_5_0"/>
      <w:bookmarkStart w:id="1283" w:name="Tc_k8oKOxojVk2_08Qx-lholQ_4_2"/>
      <w:bookmarkStart w:id="1284" w:name="Tc_wbGRR_aC00ujsok_M1MTwg_3_5"/>
      <w:bookmarkStart w:id="1285" w:name="Tc_B5hLWEQV_UeEFCPkXJh93Q_3_2"/>
      <w:bookmarkStart w:id="1286" w:name="Tc_FPujd830vEmP3BR90e7RGg_2_5"/>
      <w:bookmarkStart w:id="1287" w:name="Tc_XRP04az5f0SPHlnivnoG3g_2_2"/>
      <w:bookmarkStart w:id="1288" w:name="Tc_p76rcqeKZEi9PAgpBM20gg_1_2"/>
      <w:bookmarkStart w:id="1289" w:name="_2b65eebf_88e7_4b89_bdf3_7d975bdbebe5"/>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r>
        <w:rPr>
          <w:rFonts w:ascii="Times New Roman;Times;serif" w:hAnsi="Times New Roman;Times;serif"/>
          <w:b/>
          <w:i/>
          <w:sz w:val="20"/>
        </w:rPr>
        <w:t>Convertible senior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2019, the Company issued $287.5 million of 1.50% convertible senior notes due September 15, 2026 (the “2026 Convertible Notes,”). The fair value of the 2026 Convertible Notes, which differs from their carrying values, is influenced by interest rates, the Company’s stock price and stock price volatility and is determined by prices for the 2026 Convertible Notes observed in market trading which are Level 2 inputs. The estimated fair value of the 2026 Convertible Notes at June 30, 2023 and December 31, 2022 was $296.5 million and $281.7 million,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Level 3 valuation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contingent consideration payable is fair valued each reporting period with the change in fair value recorded as a gain or loss within the change in the fair value of contingent consideration on the consolidated statements of operations. The fair value of the development and regulatory milestones is estimated utilizing a probability adjusted, discounted cash flow approach. The discount rates are estimated utilizing Corporate B rated bonds maturing in the years of expected payments based on the Company’s estimated development timelines for the acquired product candidate. The fair value of the net sales milestones is determined utilizing a valuation framework that estimates net sales volatility to simulate a range of possible payment scenarios. The average of the payments in these scenarios is then discounted to calculate present fair value.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as part of the Company’s strategic portfolio prioritization, the Company decided to discontinue its preclinical and early research programs in its gene therapy platform, which included Friedreich ataxia and Angelman syndrome. As a result, the Company fully impaired the Friedreich ataxia and Angelman syndrome intangible assets and determined that the fair value for all of the contingent consideration payable related to Friedreich ataxia and Angelman syndrome was $0. The change in fair value for the contingent consideration payable related to Friedreich ataxia and Angelman syndrome for the three month period ended June 30, 2023 was $129.8 million and is included in the change in fair value of the contingent consideration in the statement of operations. The remaining contingent consideration as of June 30, 2023 is $37.5 million, which is solely related to the development and regulatory milestones, and net sales milestones, for Upstaza.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2023, the weighted average discount rate for the Upstaza development and regulatory milestones was 6.1% and the weighted average probability of success was 90%. As of June 30, 2023, the weighted average discount rate for the Upstaza net sales milestones was 12.0% and the weighted average probability of success for the net sales milestones was 93%.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presented below is a summary of changes in the fair value of the Company’s Level 3 valuations for the contingent consideration payable for the periods ended June 30, 2023 and June 30, 2022:</w:t>
      </w:r>
    </w:p>
    <w:p>
      <w:pPr>
        <w:pStyle w:val="TextBody"/>
        <w:bidi w:val="0"/>
        <w:spacing w:before="0" w:after="240"/>
        <w:ind w:left="0" w:right="0" w:hanging="0"/>
        <w:jc w:val="both"/>
        <w:rPr/>
      </w:pPr>
      <w:r>
        <w:rPr/>
        <w:t>​</w:t>
      </w:r>
    </w:p>
    <w:tbl>
      <w:tblPr>
        <w:tblW w:w="9623" w:type="dxa"/>
        <w:jc w:val="left"/>
        <w:tblInd w:w="0" w:type="dxa"/>
        <w:tblLayout w:type="fixed"/>
        <w:tblCellMar>
          <w:top w:w="0" w:type="dxa"/>
          <w:left w:w="0" w:type="dxa"/>
          <w:bottom w:w="0" w:type="dxa"/>
          <w:right w:w="0" w:type="dxa"/>
        </w:tblCellMar>
      </w:tblPr>
      <w:tblGrid>
        <w:gridCol w:w="3706"/>
        <w:gridCol w:w="326"/>
        <w:gridCol w:w="581"/>
        <w:gridCol w:w="2029"/>
        <w:gridCol w:w="326"/>
        <w:gridCol w:w="557"/>
        <w:gridCol w:w="2098"/>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353310" cy="175260"/>
                      <wp:effectExtent l="0" t="0" r="0" b="0"/>
                      <wp:wrapNone/>
                      <wp:docPr id="256" name="Frame256"/>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68935" cy="175260"/>
                      <wp:effectExtent l="0" t="0" r="0" b="0"/>
                      <wp:wrapNone/>
                      <wp:docPr id="258" name="Frame258"/>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88415" cy="175260"/>
                      <wp:effectExtent l="0" t="0" r="0" b="0"/>
                      <wp:wrapNone/>
                      <wp:docPr id="259" name="Frame259"/>
                      <a:graphic xmlns:a="http://schemas.openxmlformats.org/drawingml/2006/main">
                        <a:graphicData uri="http://schemas.microsoft.com/office/word/2010/wordprocessingShape">
                          <wps:wsp>
                            <wps:cNvSpPr txBox="1"/>
                            <wps:spPr>
                              <a:xfrm>
                                <a:off x="0" y="0"/>
                                <a:ext cx="1288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53695" cy="175260"/>
                      <wp:effectExtent l="0" t="0" r="0" b="0"/>
                      <wp:wrapNone/>
                      <wp:docPr id="261" name="Frame261"/>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2230" cy="175260"/>
                      <wp:effectExtent l="0" t="0" r="0" b="0"/>
                      <wp:wrapNone/>
                      <wp:docPr id="262" name="Frame262"/>
                      <a:graphic xmlns:a="http://schemas.openxmlformats.org/drawingml/2006/main">
                        <a:graphicData uri="http://schemas.microsoft.com/office/word/2010/wordprocessingShape">
                          <wps:wsp>
                            <wps:cNvSpPr txBox="1"/>
                            <wps:spPr>
                              <a:xfrm>
                                <a:off x="0" y="0"/>
                                <a:ext cx="1332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 liabilities</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 consideration payable-</w:t>
            </w:r>
          </w:p>
        </w:tc>
        <w:tc>
          <w:tcPr>
            <w:tcW w:w="326" w:type="dxa"/>
            <w:tcBorders/>
            <w:vAlign w:val="center"/>
          </w:tcPr>
          <w:p>
            <w:pPr>
              <w:pStyle w:val="TableContents"/>
              <w:bidi w:val="0"/>
              <w:spacing w:before="0" w:after="0"/>
              <w:ind w:left="0" w:right="0" w:hanging="0"/>
              <w:jc w:val="left"/>
              <w:rPr/>
            </w:pPr>
            <w:r>
              <w:rPr/>
              <w:t>​</w:t>
            </w:r>
          </w:p>
        </w:tc>
        <w:tc>
          <w:tcPr>
            <w:tcW w:w="26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 consideration payable-</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 and regulatory</w:t>
            </w:r>
          </w:p>
        </w:tc>
        <w:tc>
          <w:tcPr>
            <w:tcW w:w="326" w:type="dxa"/>
            <w:tcBorders/>
            <w:vAlign w:val="center"/>
          </w:tcPr>
          <w:p>
            <w:pPr>
              <w:pStyle w:val="TableContents"/>
              <w:bidi w:val="0"/>
              <w:spacing w:before="0" w:after="0"/>
              <w:ind w:left="0" w:right="0" w:hanging="0"/>
              <w:jc w:val="left"/>
              <w:rPr/>
            </w:pPr>
            <w:r>
              <w:rPr/>
              <w:t>​</w:t>
            </w:r>
          </w:p>
        </w:tc>
        <w:tc>
          <w:tcPr>
            <w:tcW w:w="26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 milestones and royalties</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milestones</w:t>
            </w:r>
          </w:p>
        </w:tc>
        <w:tc>
          <w:tcPr>
            <w:tcW w:w="326" w:type="dxa"/>
            <w:tcBorders/>
            <w:vAlign w:val="center"/>
          </w:tcPr>
          <w:p>
            <w:pPr>
              <w:pStyle w:val="TableContents"/>
              <w:bidi w:val="0"/>
              <w:spacing w:before="0" w:after="0"/>
              <w:ind w:left="0" w:right="0" w:hanging="0"/>
              <w:jc w:val="left"/>
              <w:rPr/>
            </w:pPr>
            <w:r>
              <w:rPr/>
              <w:t>    </w:t>
            </w:r>
          </w:p>
        </w:tc>
        <w:tc>
          <w:tcPr>
            <w:tcW w:w="2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82,500</w:t>
            </w:r>
          </w:p>
        </w:tc>
        <w:tc>
          <w:tcPr>
            <w:tcW w:w="32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81,500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left"/>
              <w:rPr/>
            </w:pPr>
            <w:r>
              <w:rPr/>
              <w:t> </w:t>
            </w:r>
          </w:p>
        </w:tc>
        <w:tc>
          <w:tcPr>
            <w:tcW w:w="20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 </w:t>
            </w:r>
          </w:p>
        </w:tc>
        <w:tc>
          <w:tcPr>
            <w:tcW w:w="2098"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left"/>
              <w:rPr/>
            </w:pPr>
            <w:r>
              <w:rPr/>
              <w:t> </w:t>
            </w:r>
          </w:p>
        </w:tc>
        <w:tc>
          <w:tcPr>
            <w:tcW w:w="2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(56,100)</w:t>
            </w:r>
          </w:p>
        </w:tc>
        <w:tc>
          <w:tcPr>
            <w:tcW w:w="326"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left"/>
              <w:rPr/>
            </w:pPr>
            <w:r>
              <w:rPr/>
              <w:t> </w:t>
            </w:r>
          </w:p>
        </w:tc>
        <w:tc>
          <w:tcPr>
            <w:tcW w:w="2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(70,400)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26" w:type="dxa"/>
            <w:tcBorders/>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 as of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26,400</w:t>
            </w:r>
          </w:p>
        </w:tc>
        <w:tc>
          <w:tcPr>
            <w:tcW w:w="326" w:type="dxa"/>
            <w:tcBorders/>
            <w:shd w:fill="CCEEFF" w:val="clear"/>
            <w:vAlign w:val="center"/>
          </w:tcPr>
          <w:p>
            <w:pPr>
              <w:pStyle w:val="TableContents"/>
              <w:bidi w:val="0"/>
              <w:spacing w:before="0" w:after="0"/>
              <w:ind w:left="0" w:right="0" w:hanging="0"/>
              <w:jc w:val="left"/>
              <w:rPr/>
            </w:pPr>
            <w:r>
              <w:rPr/>
              <w:t>​</w:t>
            </w:r>
          </w:p>
        </w:tc>
        <w:tc>
          <w:tcPr>
            <w:tcW w:w="5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11,100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90" w:name="Tc_MYlNO6XljEiY4YBkkmWeZA_4_8"/>
      <w:bookmarkStart w:id="1291" w:name="Tc_6Pa5JGbF40mU_Oo-lqJTcQ_4_6"/>
      <w:bookmarkStart w:id="1292" w:name="Tc_Y0RqnVUZc06jJCsBsnhsbg_4_4"/>
      <w:bookmarkStart w:id="1293" w:name="Tc_x2bQ6AlYIkulf0NAzohSeA_4_0"/>
      <w:bookmarkStart w:id="1294" w:name="Tc_T5lzh3-n6E-LaKbNGW4B3g_3_8"/>
      <w:bookmarkStart w:id="1295" w:name="Tc_mXd9KGttRUyLbAJnNcN_iA_3_6"/>
      <w:bookmarkStart w:id="1296" w:name="Tc_0g4pduqWA0C_yeL6PmRpTw_3_4"/>
      <w:bookmarkStart w:id="1297" w:name="Tc_IoaCYtCeXUepl8W96vsTtA_3_0"/>
      <w:bookmarkStart w:id="1298" w:name="Tc_fOQSmefQeEW07X7Yj3f3aQ_2_8"/>
      <w:bookmarkStart w:id="1299" w:name="Tc_4tIChORI-EWjOB9Xm5Gssg_2_6"/>
      <w:bookmarkStart w:id="1300" w:name="Tc_yo3Sy48Gr0K26In4ozNYdw_2_4"/>
      <w:bookmarkStart w:id="1301" w:name="Tc_g5bPUjcA7U-abRAjbGFTmA_2_2"/>
      <w:bookmarkStart w:id="1302" w:name="Tc_X8KG7JGNcE-Gs9RXzXLO8Q_1_2"/>
      <w:bookmarkStart w:id="1303" w:name="_46985616_19df_4695_80a5_f417a50c33da"/>
      <w:bookmarkStart w:id="1304" w:name="Tc_WylwP0YCxEusbOODxmhvKA_4_8"/>
      <w:bookmarkStart w:id="1305" w:name="Tc_6S0XlP-WDkeWterrebTOuw_4_6"/>
      <w:bookmarkStart w:id="1306" w:name="Tc_59w_rUILM06OQO2cLQ8kCw_4_4"/>
      <w:bookmarkStart w:id="1307" w:name="Tc_LZd1q88VUEWnyeLP4GrCkA_4_0"/>
      <w:bookmarkStart w:id="1308" w:name="Tc_oLmk5qshBkStz7hr4ZDVTQ_3_8"/>
      <w:bookmarkStart w:id="1309" w:name="Tc_5MWtUB-4YEWvdRjDOmnZiA_3_6"/>
      <w:bookmarkStart w:id="1310" w:name="Tc_3-R5Dgqbjk2wpxn4Nzgjmg_3_4"/>
      <w:bookmarkStart w:id="1311" w:name="Tc_Rcyz7nys9kusWLm3Pl1vSQ_3_0"/>
      <w:bookmarkStart w:id="1312" w:name="Tc_MV3vNkbnfEiEgbRzKO7-8g_2_8"/>
      <w:bookmarkStart w:id="1313" w:name="Tc_KYlxngarQ0WxCrc2Adzf9Q_2_6"/>
      <w:bookmarkStart w:id="1314" w:name="Tc_gghYCoOTlk2lxhhbfEZrCA_2_4"/>
      <w:bookmarkStart w:id="1315" w:name="Tc_Uwul5lWsnECFhTcZgq5lcg_2_2"/>
      <w:bookmarkStart w:id="1316" w:name="Tc_uaxLp_9Wn0-3KOE1v2u3RQ_1_2"/>
      <w:bookmarkStart w:id="1317" w:name="_016ce508_2894_40d5_babf_2e0181941d63"/>
      <w:bookmarkStart w:id="1318" w:name="Tc_yn1VgntPa0mSvA9ZP89p7g_10_5"/>
      <w:bookmarkStart w:id="1319" w:name="Tc_rZdAgENpMUisRglLNusK4A_10_2"/>
      <w:bookmarkStart w:id="1320" w:name="Tc_y6qy64wuJUeloWgFhq2r7Q_10_0"/>
      <w:bookmarkStart w:id="1321" w:name="Tc_3FXB7ApjO0C74egtD8CcDQ_9_0"/>
      <w:bookmarkStart w:id="1322" w:name="Tc_QPZrQd2Ly0y4aA1IVjDLgg_8_0"/>
      <w:bookmarkStart w:id="1323" w:name="Tc_fhJtpPpR2EmYuoUozmVtrQ_7_0"/>
      <w:bookmarkStart w:id="1324" w:name="Tc_FJMgraukEkqh3O8ALA7T9g_6_0"/>
      <w:bookmarkStart w:id="1325" w:name="Tc_8wHgtTTcdEmUyfF-irXXlQ_5_5"/>
      <w:bookmarkStart w:id="1326" w:name="Tc_zg_aVsAAUEerkD5FvZyyEw_5_2"/>
      <w:bookmarkStart w:id="1327" w:name="Tc_l4eS0hdSx0ePtffCL81LRg_5_0"/>
      <w:bookmarkStart w:id="1328" w:name="Tc_MOnP32Pi0ki6UZ2BCH-GMA_4_2"/>
      <w:bookmarkStart w:id="1329" w:name="Tc_FnTACB5EL0aPVkVFLpF6Zw_3_5"/>
      <w:bookmarkStart w:id="1330" w:name="Tc_DBnb_y2M7EKB4iEkrQ5wQA_3_2"/>
      <w:bookmarkStart w:id="1331" w:name="Tc_lmZ9Gb3jlkiVdfdIQsts8A_2_5"/>
      <w:bookmarkStart w:id="1332" w:name="Tc_okN-OYmD2kCG7CILihn0NQ_2_2"/>
      <w:bookmarkStart w:id="1333" w:name="Tc_ucheSQNI70i_NtZYJhn7uA_1_2"/>
      <w:bookmarkStart w:id="1334" w:name="_abb034b9_0b76_4510_970a_a8430a8579f4"/>
      <w:bookmarkStart w:id="1335" w:name="Tc_MYlNO6XljEiY4YBkkmWeZA_4_8"/>
      <w:bookmarkStart w:id="1336" w:name="Tc_6Pa5JGbF40mU_Oo-lqJTcQ_4_6"/>
      <w:bookmarkStart w:id="1337" w:name="Tc_Y0RqnVUZc06jJCsBsnhsbg_4_4"/>
      <w:bookmarkStart w:id="1338" w:name="Tc_x2bQ6AlYIkulf0NAzohSeA_4_0"/>
      <w:bookmarkStart w:id="1339" w:name="Tc_T5lzh3-n6E-LaKbNGW4B3g_3_8"/>
      <w:bookmarkStart w:id="1340" w:name="Tc_mXd9KGttRUyLbAJnNcN_iA_3_6"/>
      <w:bookmarkStart w:id="1341" w:name="Tc_0g4pduqWA0C_yeL6PmRpTw_3_4"/>
      <w:bookmarkStart w:id="1342" w:name="Tc_IoaCYtCeXUepl8W96vsTtA_3_0"/>
      <w:bookmarkStart w:id="1343" w:name="Tc_fOQSmefQeEW07X7Yj3f3aQ_2_8"/>
      <w:bookmarkStart w:id="1344" w:name="Tc_4tIChORI-EWjOB9Xm5Gssg_2_6"/>
      <w:bookmarkStart w:id="1345" w:name="Tc_yo3Sy48Gr0K26In4ozNYdw_2_4"/>
      <w:bookmarkStart w:id="1346" w:name="Tc_g5bPUjcA7U-abRAjbGFTmA_2_2"/>
      <w:bookmarkStart w:id="1347" w:name="Tc_X8KG7JGNcE-Gs9RXzXLO8Q_1_2"/>
      <w:bookmarkStart w:id="1348" w:name="_46985616_19df_4695_80a5_f417a50c33da"/>
      <w:bookmarkStart w:id="1349" w:name="Tc_WylwP0YCxEusbOODxmhvKA_4_8"/>
      <w:bookmarkStart w:id="1350" w:name="Tc_6S0XlP-WDkeWterrebTOuw_4_6"/>
      <w:bookmarkStart w:id="1351" w:name="Tc_59w_rUILM06OQO2cLQ8kCw_4_4"/>
      <w:bookmarkStart w:id="1352" w:name="Tc_LZd1q88VUEWnyeLP4GrCkA_4_0"/>
      <w:bookmarkStart w:id="1353" w:name="Tc_oLmk5qshBkStz7hr4ZDVTQ_3_8"/>
      <w:bookmarkStart w:id="1354" w:name="Tc_5MWtUB-4YEWvdRjDOmnZiA_3_6"/>
      <w:bookmarkStart w:id="1355" w:name="Tc_3-R5Dgqbjk2wpxn4Nzgjmg_3_4"/>
      <w:bookmarkStart w:id="1356" w:name="Tc_Rcyz7nys9kusWLm3Pl1vSQ_3_0"/>
      <w:bookmarkStart w:id="1357" w:name="Tc_MV3vNkbnfEiEgbRzKO7-8g_2_8"/>
      <w:bookmarkStart w:id="1358" w:name="Tc_KYlxngarQ0WxCrc2Adzf9Q_2_6"/>
      <w:bookmarkStart w:id="1359" w:name="Tc_gghYCoOTlk2lxhhbfEZrCA_2_4"/>
      <w:bookmarkStart w:id="1360" w:name="Tc_Uwul5lWsnECFhTcZgq5lcg_2_2"/>
      <w:bookmarkStart w:id="1361" w:name="Tc_uaxLp_9Wn0-3KOE1v2u3RQ_1_2"/>
      <w:bookmarkStart w:id="1362" w:name="_016ce508_2894_40d5_babf_2e0181941d63"/>
      <w:bookmarkStart w:id="1363" w:name="Tc_yn1VgntPa0mSvA9ZP89p7g_10_5"/>
      <w:bookmarkStart w:id="1364" w:name="Tc_rZdAgENpMUisRglLNusK4A_10_2"/>
      <w:bookmarkStart w:id="1365" w:name="Tc_y6qy64wuJUeloWgFhq2r7Q_10_0"/>
      <w:bookmarkStart w:id="1366" w:name="Tc_3FXB7ApjO0C74egtD8CcDQ_9_0"/>
      <w:bookmarkStart w:id="1367" w:name="Tc_QPZrQd2Ly0y4aA1IVjDLgg_8_0"/>
      <w:bookmarkStart w:id="1368" w:name="Tc_fhJtpPpR2EmYuoUozmVtrQ_7_0"/>
      <w:bookmarkStart w:id="1369" w:name="Tc_FJMgraukEkqh3O8ALA7T9g_6_0"/>
      <w:bookmarkStart w:id="1370" w:name="Tc_8wHgtTTcdEmUyfF-irXXlQ_5_5"/>
      <w:bookmarkStart w:id="1371" w:name="Tc_zg_aVsAAUEerkD5FvZyyEw_5_2"/>
      <w:bookmarkStart w:id="1372" w:name="Tc_l4eS0hdSx0ePtffCL81LRg_5_0"/>
      <w:bookmarkStart w:id="1373" w:name="Tc_MOnP32Pi0ki6UZ2BCH-GMA_4_2"/>
      <w:bookmarkStart w:id="1374" w:name="Tc_FnTACB5EL0aPVkVFLpF6Zw_3_5"/>
      <w:bookmarkStart w:id="1375" w:name="Tc_DBnb_y2M7EKB4iEkrQ5wQA_3_2"/>
      <w:bookmarkStart w:id="1376" w:name="Tc_lmZ9Gb3jlkiVdfdIQsts8A_2_5"/>
      <w:bookmarkStart w:id="1377" w:name="Tc_okN-OYmD2kCG7CILihn0NQ_2_2"/>
      <w:bookmarkStart w:id="1378" w:name="Tc_ucheSQNI70i_NtZYJhn7uA_1_2"/>
      <w:bookmarkStart w:id="1379" w:name="_abb034b9_0b76_4510_970a_a8430a8579f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p>
    <w:tbl>
      <w:tblPr>
        <w:tblW w:w="10118" w:type="dxa"/>
        <w:jc w:val="left"/>
        <w:tblInd w:w="0" w:type="dxa"/>
        <w:tblLayout w:type="fixed"/>
        <w:tblCellMar>
          <w:top w:w="0" w:type="dxa"/>
          <w:left w:w="0" w:type="dxa"/>
          <w:bottom w:w="0" w:type="dxa"/>
          <w:right w:w="0" w:type="dxa"/>
        </w:tblCellMar>
      </w:tblPr>
      <w:tblGrid>
        <w:gridCol w:w="4201"/>
        <w:gridCol w:w="326"/>
        <w:gridCol w:w="554"/>
        <w:gridCol w:w="2056"/>
        <w:gridCol w:w="326"/>
        <w:gridCol w:w="540"/>
        <w:gridCol w:w="2115"/>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667635" cy="175260"/>
                      <wp:effectExtent l="0" t="0" r="0" b="0"/>
                      <wp:wrapNone/>
                      <wp:docPr id="263" name="Frame263"/>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51790" cy="175260"/>
                      <wp:effectExtent l="0" t="0" r="0" b="0"/>
                      <wp:wrapNone/>
                      <wp:docPr id="265" name="Frame265"/>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05560" cy="175260"/>
                      <wp:effectExtent l="0" t="0" r="0" b="0"/>
                      <wp:wrapNone/>
                      <wp:docPr id="266" name="Frame266"/>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42900" cy="175260"/>
                      <wp:effectExtent l="0" t="0" r="0" b="0"/>
                      <wp:wrapNone/>
                      <wp:docPr id="268" name="Frame26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43025" cy="175260"/>
                      <wp:effectExtent l="0" t="0" r="0" b="0"/>
                      <wp:wrapNone/>
                      <wp:docPr id="269" name="Frame269"/>
                      <a:graphic xmlns:a="http://schemas.openxmlformats.org/drawingml/2006/main">
                        <a:graphicData uri="http://schemas.microsoft.com/office/word/2010/wordprocessingShape">
                          <wps:wsp>
                            <wps:cNvSpPr txBox="1"/>
                            <wps:spPr>
                              <a:xfrm>
                                <a:off x="0" y="0"/>
                                <a:ext cx="1343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 liabilities</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 consideration payable-</w:t>
            </w:r>
          </w:p>
        </w:tc>
        <w:tc>
          <w:tcPr>
            <w:tcW w:w="326" w:type="dxa"/>
            <w:tcBorders/>
            <w:vAlign w:val="center"/>
          </w:tcPr>
          <w:p>
            <w:pPr>
              <w:pStyle w:val="TableContents"/>
              <w:bidi w:val="0"/>
              <w:spacing w:before="0" w:after="0"/>
              <w:ind w:left="0" w:right="0" w:hanging="0"/>
              <w:jc w:val="left"/>
              <w:rPr/>
            </w:pPr>
            <w:r>
              <w:rPr/>
              <w:t>​</w:t>
            </w:r>
          </w:p>
        </w:tc>
        <w:tc>
          <w:tcPr>
            <w:tcW w:w="26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Contingent consideration payable-</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 and regulatory</w:t>
            </w:r>
          </w:p>
        </w:tc>
        <w:tc>
          <w:tcPr>
            <w:tcW w:w="326" w:type="dxa"/>
            <w:tcBorders/>
            <w:vAlign w:val="center"/>
          </w:tcPr>
          <w:p>
            <w:pPr>
              <w:pStyle w:val="TableContents"/>
              <w:bidi w:val="0"/>
              <w:spacing w:before="0" w:after="0"/>
              <w:ind w:left="0" w:right="0" w:hanging="0"/>
              <w:jc w:val="left"/>
              <w:rPr/>
            </w:pPr>
            <w:r>
              <w:rPr/>
              <w:t>​</w:t>
            </w:r>
          </w:p>
        </w:tc>
        <w:tc>
          <w:tcPr>
            <w:tcW w:w="26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sales milestones and royalties</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milestones</w:t>
            </w:r>
          </w:p>
        </w:tc>
        <w:tc>
          <w:tcPr>
            <w:tcW w:w="326" w:type="dxa"/>
            <w:tcBorders/>
            <w:vAlign w:val="center"/>
          </w:tcPr>
          <w:p>
            <w:pPr>
              <w:pStyle w:val="TableContents"/>
              <w:bidi w:val="0"/>
              <w:spacing w:before="0" w:after="0"/>
              <w:ind w:left="0" w:right="0" w:hanging="0"/>
              <w:jc w:val="left"/>
              <w:rPr/>
            </w:pPr>
            <w:r>
              <w:rPr/>
              <w:t>    </w:t>
            </w:r>
          </w:p>
        </w:tc>
        <w:tc>
          <w:tcPr>
            <w:tcW w:w="2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139,300</w:t>
            </w:r>
          </w:p>
        </w:tc>
        <w:tc>
          <w:tcPr>
            <w:tcW w:w="326" w:type="dxa"/>
            <w:tcBorders/>
            <w:shd w:fill="CCEEFF" w:val="clear"/>
            <w:vAlign w:val="center"/>
          </w:tcPr>
          <w:p>
            <w:pPr>
              <w:pStyle w:val="TableContents"/>
              <w:bidi w:val="0"/>
              <w:spacing w:before="0" w:after="0"/>
              <w:ind w:left="0" w:right="0" w:hanging="0"/>
              <w:jc w:val="left"/>
              <w:rPr/>
            </w:pPr>
            <w:r>
              <w:rPr/>
              <w:t>​</w:t>
            </w:r>
          </w:p>
        </w:tc>
        <w:tc>
          <w:tcPr>
            <w:tcW w:w="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100,600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pPr>
            <w:r>
              <w:rPr/>
              <w:t> </w:t>
            </w:r>
          </w:p>
        </w:tc>
        <w:tc>
          <w:tcPr>
            <w:tcW w:w="2115"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554" w:type="dxa"/>
            <w:tcBorders/>
            <w:shd w:fill="CCEEFF" w:val="clear"/>
            <w:vAlign w:val="center"/>
          </w:tcPr>
          <w:p>
            <w:pPr>
              <w:pStyle w:val="TableContents"/>
              <w:bidi w:val="0"/>
              <w:spacing w:before="0" w:after="0"/>
              <w:ind w:left="0" w:right="0" w:hanging="0"/>
              <w:jc w:val="left"/>
              <w:rPr/>
            </w:pPr>
            <w:r>
              <w:rPr/>
              <w:t> </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(10,600)</w:t>
            </w:r>
          </w:p>
        </w:tc>
        <w:tc>
          <w:tcPr>
            <w:tcW w:w="326" w:type="dxa"/>
            <w:tcBorders/>
            <w:shd w:fill="CCEEFF" w:val="clear"/>
            <w:vAlign w:val="center"/>
          </w:tcPr>
          <w:p>
            <w:pPr>
              <w:pStyle w:val="TableContents"/>
              <w:bidi w:val="0"/>
              <w:spacing w:before="0" w:after="0"/>
              <w:ind w:left="0" w:right="0" w:hanging="0"/>
              <w:jc w:val="left"/>
              <w:rPr/>
            </w:pPr>
            <w:r>
              <w:rPr/>
              <w:t>​</w:t>
            </w:r>
          </w:p>
        </w:tc>
        <w:tc>
          <w:tcPr>
            <w:tcW w:w="540" w:type="dxa"/>
            <w:tcBorders/>
            <w:shd w:fill="CCEEFF" w:val="clear"/>
            <w:vAlign w:val="center"/>
          </w:tcPr>
          <w:p>
            <w:pPr>
              <w:pStyle w:val="TableContents"/>
              <w:bidi w:val="0"/>
              <w:spacing w:before="0" w:after="0"/>
              <w:ind w:left="0" w:right="0" w:hanging="0"/>
              <w:jc w:val="left"/>
              <w:rPr/>
            </w:pPr>
            <w:r>
              <w:rPr/>
              <w:t> </w:t>
            </w:r>
          </w:p>
        </w:tc>
        <w:tc>
          <w:tcPr>
            <w:tcW w:w="21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 to accounts payable and accrued expenses</w:t>
            </w:r>
          </w:p>
        </w:tc>
        <w:tc>
          <w:tcPr>
            <w:tcW w:w="326" w:type="dxa"/>
            <w:tcBorders/>
            <w:vAlign w:val="center"/>
          </w:tcPr>
          <w:p>
            <w:pPr>
              <w:pStyle w:val="TableContents"/>
              <w:bidi w:val="0"/>
              <w:spacing w:before="0" w:after="0"/>
              <w:ind w:left="0" w:right="0" w:hanging="0"/>
              <w:jc w:val="left"/>
              <w:rPr/>
            </w:pPr>
            <w:r>
              <w:rPr/>
              <w:t>​</w:t>
            </w:r>
          </w:p>
        </w:tc>
        <w:tc>
          <w:tcPr>
            <w:tcW w:w="554"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pPr>
            <w:r>
              <w:rPr/>
              <w:t>​</w:t>
            </w:r>
          </w:p>
        </w:tc>
        <w:tc>
          <w:tcPr>
            <w:tcW w:w="2115"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326" w:type="dxa"/>
            <w:tcBorders/>
            <w:shd w:fill="CCEEFF" w:val="clear"/>
            <w:vAlign w:val="center"/>
          </w:tcPr>
          <w:p>
            <w:pPr>
              <w:pStyle w:val="TableContents"/>
              <w:bidi w:val="0"/>
              <w:spacing w:before="0" w:after="0"/>
              <w:ind w:left="0" w:right="0" w:hanging="0"/>
              <w:jc w:val="lef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 as of June 30, 2022</w:t>
            </w:r>
          </w:p>
        </w:tc>
        <w:tc>
          <w:tcPr>
            <w:tcW w:w="326" w:type="dxa"/>
            <w:tcBorders/>
            <w:vAlign w:val="center"/>
          </w:tcPr>
          <w:p>
            <w:pPr>
              <w:pStyle w:val="TableContents"/>
              <w:bidi w:val="0"/>
              <w:spacing w:before="0" w:after="0"/>
              <w:ind w:left="0" w:right="0" w:hanging="0"/>
              <w:jc w:val="left"/>
              <w:rPr/>
            </w:pPr>
            <w:r>
              <w:rPr/>
              <w:t>​</w:t>
            </w:r>
          </w:p>
        </w:tc>
        <w:tc>
          <w:tcPr>
            <w:tcW w:w="5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78,700</w:t>
            </w:r>
          </w:p>
        </w:tc>
        <w:tc>
          <w:tcPr>
            <w:tcW w:w="326" w:type="dxa"/>
            <w:tcBorders/>
            <w:vAlign w:val="center"/>
          </w:tcPr>
          <w:p>
            <w:pPr>
              <w:pStyle w:val="TableContents"/>
              <w:bidi w:val="0"/>
              <w:spacing w:before="0" w:after="0"/>
              <w:ind w:left="0" w:right="0" w:hanging="0"/>
              <w:jc w:val="left"/>
              <w:rPr/>
            </w:pPr>
            <w:r>
              <w:rPr/>
              <w:t>​</w:t>
            </w:r>
          </w:p>
        </w:tc>
        <w:tc>
          <w:tcPr>
            <w:tcW w:w="5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5"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84,300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significant unobservable inputs were used in the valuation of the contingent consideration payable for the periods ended June 30, 2023 and December 31, 2022:</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00"/>
        <w:gridCol w:w="326"/>
        <w:gridCol w:w="886"/>
        <w:gridCol w:w="326"/>
        <w:gridCol w:w="2612"/>
        <w:gridCol w:w="326"/>
        <w:gridCol w:w="2452"/>
        <w:gridCol w:w="326"/>
        <w:gridCol w:w="951"/>
      </w:tblGrid>
      <w:tr>
        <w:trPr/>
        <w:tc>
          <w:tcPr>
            <w:tcW w:w="2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270000" cy="175260"/>
                      <wp:effectExtent l="0" t="0" r="0" b="0"/>
                      <wp:wrapNone/>
                      <wp:docPr id="270" name="Frame270"/>
                      <a:graphic xmlns:a="http://schemas.openxmlformats.org/drawingml/2006/main">
                        <a:graphicData uri="http://schemas.microsoft.com/office/word/2010/wordprocessingShape">
                          <wps:wsp>
                            <wps:cNvSpPr txBox="1"/>
                            <wps:spPr>
                              <a:xfrm>
                                <a:off x="0" y="0"/>
                                <a:ext cx="1270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62610" cy="175260"/>
                      <wp:effectExtent l="0" t="0" r="0" b="0"/>
                      <wp:wrapNone/>
                      <wp:docPr id="272" name="Frame2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658620" cy="175260"/>
                      <wp:effectExtent l="0" t="0" r="0" b="0"/>
                      <wp:wrapNone/>
                      <wp:docPr id="274" name="Frame274"/>
                      <a:graphic xmlns:a="http://schemas.openxmlformats.org/drawingml/2006/main">
                        <a:graphicData uri="http://schemas.microsoft.com/office/word/2010/wordprocessingShape">
                          <wps:wsp>
                            <wps:cNvSpPr txBox="1"/>
                            <wps:spPr>
                              <a:xfrm>
                                <a:off x="0" y="0"/>
                                <a:ext cx="165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557020" cy="175260"/>
                      <wp:effectExtent l="0" t="0" r="0" b="0"/>
                      <wp:wrapNone/>
                      <wp:docPr id="276" name="Frame276"/>
                      <a:graphic xmlns:a="http://schemas.openxmlformats.org/drawingml/2006/main">
                        <a:graphicData uri="http://schemas.microsoft.com/office/word/2010/wordprocessingShape">
                          <wps:wsp>
                            <wps:cNvSpPr txBox="1"/>
                            <wps:spPr>
                              <a:xfrm>
                                <a:off x="0" y="0"/>
                                <a:ext cx="1557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03885" cy="175260"/>
                      <wp:effectExtent l="0" t="0" r="0" b="0"/>
                      <wp:wrapNone/>
                      <wp:docPr id="278" name="Frame278"/>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79"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20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6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1"/>
              <w:ind w:left="0" w:right="0" w:hanging="0"/>
              <w:jc w:val="left"/>
              <w:rPr/>
            </w:pPr>
            <w:r>
              <w:rPr/>
              <w:t>    </w:t>
            </w:r>
          </w:p>
        </w:tc>
        <w:tc>
          <w:tcPr>
            <w:tcW w:w="245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w:t>
            </w:r>
          </w:p>
        </w:tc>
        <w:tc>
          <w:tcPr>
            <w:tcW w:w="326" w:type="dxa"/>
            <w:tcBorders/>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Range</w:t>
            </w:r>
          </w:p>
        </w:tc>
      </w:tr>
      <w:tr>
        <w:trPr/>
        <w:tc>
          <w:tcPr>
            <w:tcW w:w="2000"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Contingent consideration payable-</w:t>
              <w:br/>
              <w:t>development and regulatory milestones</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$26,400</w:t>
            </w:r>
          </w:p>
        </w:tc>
        <w:tc>
          <w:tcPr>
            <w:tcW w:w="326" w:type="dxa"/>
            <w:tcBorders/>
            <w:shd w:fill="CCEEFF" w:val="clear"/>
            <w:vAlign w:val="center"/>
          </w:tcPr>
          <w:p>
            <w:pPr>
              <w:pStyle w:val="TableContents"/>
              <w:bidi w:val="0"/>
              <w:spacing w:before="0" w:after="1"/>
              <w:ind w:left="0" w:right="0" w:hanging="0"/>
              <w:jc w:val="left"/>
              <w:rPr/>
            </w:pPr>
            <w:r>
              <w:rPr/>
              <w:t> </w:t>
            </w:r>
          </w:p>
        </w:tc>
        <w:tc>
          <w:tcPr>
            <w:tcW w:w="2612" w:type="dxa"/>
            <w:tcBorders/>
            <w:shd w:fill="CCEEFF" w:val="clear"/>
            <w:vAlign w:val="center"/>
          </w:tcPr>
          <w:p>
            <w:pPr>
              <w:pStyle w:val="TableContents"/>
              <w:bidi w:val="0"/>
              <w:spacing w:before="0" w:after="1"/>
              <w:ind w:left="0" w:right="0" w:hanging="0"/>
              <w:jc w:val="center"/>
              <w:rPr/>
            </w:pPr>
            <w:r>
              <w:rPr/>
              <w:t> </w:t>
            </w:r>
            <w:r>
              <w:rPr>
                <w:rFonts w:ascii="Times New Roman;Times;serif" w:hAnsi="Times New Roman;Times;serif"/>
                <w:sz w:val="16"/>
              </w:rPr>
              <w:t>Probability-adjusted discounted cash flow </w:t>
            </w:r>
          </w:p>
        </w:tc>
        <w:tc>
          <w:tcPr>
            <w:tcW w:w="326" w:type="dxa"/>
            <w:tcBorders/>
            <w:shd w:fill="CCEEFF" w:val="clear"/>
            <w:vAlign w:val="center"/>
          </w:tcPr>
          <w:p>
            <w:pPr>
              <w:pStyle w:val="TableContents"/>
              <w:bidi w:val="0"/>
              <w:spacing w:before="0" w:after="1"/>
              <w:ind w:left="0" w:right="0" w:hanging="0"/>
              <w:jc w:val="left"/>
              <w:rPr/>
            </w:pPr>
            <w:r>
              <w:rPr/>
              <w:t> </w:t>
            </w:r>
          </w:p>
        </w:tc>
        <w:tc>
          <w:tcPr>
            <w:tcW w:w="245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Potential development and regulatory milestones</w:t>
              <w:br/>
              <w:t>Probabilities of success</w:t>
              <w:br/>
              <w:t>Discount rates</w:t>
              <w:br/>
              <w:t>Projected years of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$0 - $31 million</w:t>
              <w:br/>
              <w:t>85% - 92%</w:t>
              <w:br/>
              <w:t>5.7% - 6.3%</w:t>
              <w:br/>
              <w:t>2023 - 2024</w:t>
            </w:r>
          </w:p>
        </w:tc>
      </w:tr>
      <w:tr>
        <w:trPr/>
        <w:tc>
          <w:tcPr>
            <w:tcW w:w="200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Contingent considerable payable- net sales</w:t>
              <w:br/>
              <w:t>milestones and royalties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$11,100</w:t>
            </w:r>
          </w:p>
        </w:tc>
        <w:tc>
          <w:tcPr>
            <w:tcW w:w="326" w:type="dxa"/>
            <w:tcBorders/>
            <w:vAlign w:val="center"/>
          </w:tcPr>
          <w:p>
            <w:pPr>
              <w:pStyle w:val="TableContents"/>
              <w:bidi w:val="0"/>
              <w:spacing w:before="0" w:after="1"/>
              <w:ind w:left="0" w:right="0" w:hanging="0"/>
              <w:jc w:val="left"/>
              <w:rPr/>
            </w:pPr>
            <w:r>
              <w:rPr/>
              <w:t> </w:t>
            </w:r>
          </w:p>
        </w:tc>
        <w:tc>
          <w:tcPr>
            <w:tcW w:w="261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Option-pricing model with Monte Carlo simulation  </w:t>
            </w:r>
          </w:p>
        </w:tc>
        <w:tc>
          <w:tcPr>
            <w:tcW w:w="326" w:type="dxa"/>
            <w:tcBorders/>
            <w:vAlign w:val="center"/>
          </w:tcPr>
          <w:p>
            <w:pPr>
              <w:pStyle w:val="TableContents"/>
              <w:bidi w:val="0"/>
              <w:spacing w:before="0" w:after="1"/>
              <w:ind w:left="0" w:right="0" w:hanging="0"/>
              <w:jc w:val="left"/>
              <w:rPr/>
            </w:pPr>
            <w:r>
              <w:rPr/>
              <w:t> </w:t>
            </w:r>
          </w:p>
        </w:tc>
        <w:tc>
          <w:tcPr>
            <w:tcW w:w="245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Potential net sales milestones</w:t>
              <w:br/>
              <w:t>Probabilities of success</w:t>
              <w:br/>
              <w:t>Potential percentage of net sales for royalties</w:t>
              <w:br/>
              <w:t>Discount rate</w:t>
              <w:br/>
              <w:t>Projected years of payments</w:t>
            </w:r>
          </w:p>
        </w:tc>
        <w:tc>
          <w:tcPr>
            <w:tcW w:w="326"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$0 - $50 million</w:t>
              <w:br/>
              <w:t>85% - 100%</w:t>
              <w:br/>
              <w:t>0%</w:t>
              <w:br/>
              <w:t>12%</w:t>
              <w:br/>
              <w:t>2025 - 2034</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987"/>
        <w:gridCol w:w="326"/>
        <w:gridCol w:w="886"/>
        <w:gridCol w:w="326"/>
        <w:gridCol w:w="2598"/>
        <w:gridCol w:w="326"/>
        <w:gridCol w:w="2439"/>
        <w:gridCol w:w="326"/>
        <w:gridCol w:w="991"/>
      </w:tblGrid>
      <w:tr>
        <w:trPr/>
        <w:tc>
          <w:tcPr>
            <w:tcW w:w="1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61745" cy="175260"/>
                      <wp:effectExtent l="0" t="0" r="0" b="0"/>
                      <wp:wrapNone/>
                      <wp:docPr id="279" name="Frame279"/>
                      <a:graphic xmlns:a="http://schemas.openxmlformats.org/drawingml/2006/main">
                        <a:graphicData uri="http://schemas.microsoft.com/office/word/2010/wordprocessingShape">
                          <wps:wsp>
                            <wps:cNvSpPr txBox="1"/>
                            <wps:spPr>
                              <a:xfrm>
                                <a:off x="0" y="0"/>
                                <a:ext cx="1261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62610" cy="175260"/>
                      <wp:effectExtent l="0" t="0" r="0" b="0"/>
                      <wp:wrapNone/>
                      <wp:docPr id="281" name="Frame28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649730" cy="175260"/>
                      <wp:effectExtent l="0" t="0" r="0" b="0"/>
                      <wp:wrapNone/>
                      <wp:docPr id="283" name="Frame283"/>
                      <a:graphic xmlns:a="http://schemas.openxmlformats.org/drawingml/2006/main">
                        <a:graphicData uri="http://schemas.microsoft.com/office/word/2010/wordprocessingShape">
                          <wps:wsp>
                            <wps:cNvSpPr txBox="1"/>
                            <wps:spPr>
                              <a:xfrm>
                                <a:off x="0" y="0"/>
                                <a:ext cx="1649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548765" cy="175260"/>
                      <wp:effectExtent l="0" t="0" r="0" b="0"/>
                      <wp:wrapNone/>
                      <wp:docPr id="285" name="Frame285"/>
                      <a:graphic xmlns:a="http://schemas.openxmlformats.org/drawingml/2006/main">
                        <a:graphicData uri="http://schemas.microsoft.com/office/word/2010/wordprocessingShape">
                          <wps:wsp>
                            <wps:cNvSpPr txBox="1"/>
                            <wps:spPr>
                              <a:xfrm>
                                <a:off x="0" y="0"/>
                                <a:ext cx="154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29285" cy="175260"/>
                      <wp:effectExtent l="0" t="0" r="0" b="0"/>
                      <wp:wrapNone/>
                      <wp:docPr id="287" name="Frame28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9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9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5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326" w:type="dxa"/>
            <w:tcBorders/>
            <w:vAlign w:val="center"/>
          </w:tcPr>
          <w:p>
            <w:pPr>
              <w:pStyle w:val="TableContents"/>
              <w:bidi w:val="0"/>
              <w:spacing w:before="0" w:after="1"/>
              <w:ind w:left="0" w:right="0" w:hanging="0"/>
              <w:jc w:val="left"/>
              <w:rPr/>
            </w:pPr>
            <w:r>
              <w:rPr/>
              <w:t>    </w:t>
            </w:r>
          </w:p>
        </w:tc>
        <w:tc>
          <w:tcPr>
            <w:tcW w:w="24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Range</w:t>
            </w:r>
          </w:p>
        </w:tc>
      </w:tr>
      <w:tr>
        <w:trPr/>
        <w:tc>
          <w:tcPr>
            <w:tcW w:w="198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Contingent consideration payable-</w:t>
              <w:br/>
              <w:t>development and regulatory milestones</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$82,500</w:t>
            </w:r>
          </w:p>
        </w:tc>
        <w:tc>
          <w:tcPr>
            <w:tcW w:w="326" w:type="dxa"/>
            <w:tcBorders/>
            <w:shd w:fill="CCEEFF" w:val="clear"/>
            <w:vAlign w:val="center"/>
          </w:tcPr>
          <w:p>
            <w:pPr>
              <w:pStyle w:val="TableContents"/>
              <w:bidi w:val="0"/>
              <w:spacing w:before="0" w:after="1"/>
              <w:ind w:left="0" w:right="0" w:hanging="0"/>
              <w:jc w:val="left"/>
              <w:rPr/>
            </w:pPr>
            <w:r>
              <w:rPr/>
              <w:t> </w:t>
            </w:r>
          </w:p>
        </w:tc>
        <w:tc>
          <w:tcPr>
            <w:tcW w:w="2598" w:type="dxa"/>
            <w:tcBorders/>
            <w:shd w:fill="CCEEFF" w:val="clear"/>
            <w:vAlign w:val="center"/>
          </w:tcPr>
          <w:p>
            <w:pPr>
              <w:pStyle w:val="TableContents"/>
              <w:bidi w:val="0"/>
              <w:spacing w:before="0" w:after="1"/>
              <w:ind w:left="0" w:right="0" w:hanging="0"/>
              <w:jc w:val="center"/>
              <w:rPr/>
            </w:pPr>
            <w:r>
              <w:rPr/>
              <w:t> </w:t>
            </w:r>
            <w:r>
              <w:rPr>
                <w:rFonts w:ascii="Times New Roman;Times;serif" w:hAnsi="Times New Roman;Times;serif"/>
                <w:sz w:val="16"/>
              </w:rPr>
              <w:t>Probability-adjusted discounted cash flow </w:t>
            </w:r>
          </w:p>
        </w:tc>
        <w:tc>
          <w:tcPr>
            <w:tcW w:w="326" w:type="dxa"/>
            <w:tcBorders/>
            <w:shd w:fill="CCEEFF" w:val="clear"/>
            <w:vAlign w:val="center"/>
          </w:tcPr>
          <w:p>
            <w:pPr>
              <w:pStyle w:val="TableContents"/>
              <w:bidi w:val="0"/>
              <w:spacing w:before="0" w:after="1"/>
              <w:ind w:left="0" w:right="0" w:hanging="0"/>
              <w:jc w:val="left"/>
              <w:rPr/>
            </w:pPr>
            <w:r>
              <w:rPr/>
              <w:t> </w:t>
            </w:r>
          </w:p>
        </w:tc>
        <w:tc>
          <w:tcPr>
            <w:tcW w:w="2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Potential development and regulatory milestones</w:t>
              <w:br/>
              <w:t>Probabilities of success</w:t>
              <w:br/>
              <w:t>Discount rates</w:t>
              <w:br/>
              <w:t>Projected years of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$0 - $331 million</w:t>
              <w:br/>
              <w:t>25% - 92%</w:t>
              <w:br/>
              <w:t>6.2% - 8.3%</w:t>
              <w:br/>
              <w:t>2023 - 2029</w:t>
            </w:r>
          </w:p>
        </w:tc>
      </w:tr>
      <w:tr>
        <w:trPr/>
        <w:tc>
          <w:tcPr>
            <w:tcW w:w="198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Contingent considerable payable- net sales</w:t>
              <w:br/>
              <w:t>milestones and royalties</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$81,500</w:t>
            </w:r>
          </w:p>
        </w:tc>
        <w:tc>
          <w:tcPr>
            <w:tcW w:w="326" w:type="dxa"/>
            <w:tcBorders/>
            <w:vAlign w:val="center"/>
          </w:tcPr>
          <w:p>
            <w:pPr>
              <w:pStyle w:val="TableContents"/>
              <w:bidi w:val="0"/>
              <w:spacing w:before="0" w:after="1"/>
              <w:ind w:left="0" w:right="0" w:hanging="0"/>
              <w:jc w:val="left"/>
              <w:rPr/>
            </w:pPr>
            <w:r>
              <w:rPr/>
              <w:t> </w:t>
            </w:r>
          </w:p>
        </w:tc>
        <w:tc>
          <w:tcPr>
            <w:tcW w:w="259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Option-pricing model with Monte Carlo simulation  </w:t>
            </w:r>
          </w:p>
        </w:tc>
        <w:tc>
          <w:tcPr>
            <w:tcW w:w="326" w:type="dxa"/>
            <w:tcBorders/>
            <w:vAlign w:val="center"/>
          </w:tcPr>
          <w:p>
            <w:pPr>
              <w:pStyle w:val="TableContents"/>
              <w:bidi w:val="0"/>
              <w:spacing w:before="0" w:after="1"/>
              <w:ind w:left="0" w:right="0" w:hanging="0"/>
              <w:jc w:val="left"/>
              <w:rPr/>
            </w:pPr>
            <w:r>
              <w:rPr/>
              <w:t> </w:t>
            </w:r>
          </w:p>
        </w:tc>
        <w:tc>
          <w:tcPr>
            <w:tcW w:w="243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Potential net sales milestones</w:t>
              <w:br/>
              <w:t>Probabilities of success</w:t>
              <w:br/>
              <w:t>Potential percentage of net sales for royalties</w:t>
              <w:br/>
              <w:t>Discount rate</w:t>
              <w:br/>
              <w:t>Projected years of payments</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$0 - $150 million</w:t>
              <w:br/>
              <w:t>25% - 100%</w:t>
              <w:br/>
              <w:t>2% - 6%</w:t>
              <w:br/>
              <w:t>11.5%</w:t>
              <w:br/>
              <w:t>2025 - 2041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contingent consideration payables are classified Level 3 liabilities as their valuation requires substantial judgment and estimation of factors that are not currently observable in the market. If different assumptions were used for the various inputs to the valuation approaches, including but not limited to, assumptions involving probability adjusted sales estimates for the gene therapy platform and estimated discount rates, the estimated fair value could be significantly higher or lower than the fair value determined.</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80" w:name="Tc_-9v42jry0UmN5RmpJFv7hg_12_5"/>
      <w:bookmarkStart w:id="1381" w:name="Tc_wKIzH31OhEurW2MZ8q6K4Q_12_2"/>
      <w:bookmarkStart w:id="1382" w:name="Tc_5baIoYNbkkizJcRHOH0G9Q_12_0"/>
      <w:bookmarkStart w:id="1383" w:name="Tc_XZETrkAM702WSa982O5BCA_11_0"/>
      <w:bookmarkStart w:id="1384" w:name="Tc_es8jmOTiz0a13fORB__ZWg_10_0"/>
      <w:bookmarkStart w:id="1385" w:name="Tc_CIdKT5tfAkmk6EvlLaZp4Q_9_0"/>
      <w:bookmarkStart w:id="1386" w:name="Tc_I4g6m5gBsEmyCYcLR_WJdA_8_0"/>
      <w:bookmarkStart w:id="1387" w:name="Tc_bET8fxTYgEeh7FIDp23PZg_7_0"/>
      <w:bookmarkStart w:id="1388" w:name="Tc_KRGeexw6OE62YSECOmzLhQ_6_0"/>
      <w:bookmarkStart w:id="1389" w:name="Tc_IqIg6sSlz0aLbVdE7jKS5Q_5_0"/>
      <w:bookmarkStart w:id="1390" w:name="Tc_FTQAa2hSnkORjBTyS4hilg_4_0"/>
      <w:bookmarkStart w:id="1391" w:name="Tc_ogjzGZ2qX02hCAjMO4a-Sg_3_5"/>
      <w:bookmarkStart w:id="1392" w:name="Tc_88Ds-GFYHkytEHyPGtuYJg_3_2"/>
      <w:bookmarkStart w:id="1393" w:name="Tc_tfSTt-3t9EGSChem0HdiwQ_3_0"/>
      <w:bookmarkStart w:id="1394" w:name="Tc_ofl0Rzs3mEKBysPTnbNY7A_2_5"/>
      <w:bookmarkStart w:id="1395" w:name="Tc_aTYiC3643EaGdy6GSSr9PQ_2_2"/>
      <w:bookmarkStart w:id="1396" w:name="Tc_2HQc-oXdQUqwuISUfPgjNw_1_5"/>
      <w:bookmarkStart w:id="1397" w:name="Tc_edyGwOD1lk2-th2EjGrf-A_1_2"/>
      <w:bookmarkStart w:id="1398" w:name="_d1dafda9_14fe_493a_868e_83df8765fb64"/>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r>
        <w:rPr>
          <w:rFonts w:ascii="Times New Roman;Times;serif" w:hAnsi="Times New Roman;Times;serif"/>
          <w:b/>
          <w:sz w:val="20"/>
        </w:rPr>
        <w:t>5.        Accounts payable and accrued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and accrued expenses at June 30, 2023 and December 31, 2022 consist of the following:</w:t>
      </w:r>
    </w:p>
    <w:p>
      <w:pPr>
        <w:pStyle w:val="TextBody"/>
        <w:bidi w:val="0"/>
        <w:spacing w:before="0" w:after="240"/>
        <w:ind w:left="0" w:right="0" w:hanging="0"/>
        <w:jc w:val="both"/>
        <w:rPr/>
      </w:pPr>
      <w:r>
        <w:rPr/>
        <w:t>​</w:t>
      </w:r>
    </w:p>
    <w:tbl>
      <w:tblPr>
        <w:tblW w:w="7499" w:type="dxa"/>
        <w:jc w:val="left"/>
        <w:tblInd w:w="0" w:type="dxa"/>
        <w:tblLayout w:type="fixed"/>
        <w:tblCellMar>
          <w:top w:w="0" w:type="dxa"/>
          <w:left w:w="0" w:type="dxa"/>
          <w:bottom w:w="0" w:type="dxa"/>
          <w:right w:w="0" w:type="dxa"/>
        </w:tblCellMar>
      </w:tblPr>
      <w:tblGrid>
        <w:gridCol w:w="4561"/>
        <w:gridCol w:w="326"/>
        <w:gridCol w:w="211"/>
        <w:gridCol w:w="781"/>
        <w:gridCol w:w="326"/>
        <w:gridCol w:w="242"/>
        <w:gridCol w:w="898"/>
        <w:gridCol w:w="154"/>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896235" cy="175260"/>
                      <wp:effectExtent l="0" t="0" r="0" b="0"/>
                      <wp:wrapNone/>
                      <wp:docPr id="288" name="Frame288"/>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95935" cy="175260"/>
                      <wp:effectExtent l="0" t="0" r="0" b="0"/>
                      <wp:wrapNone/>
                      <wp:docPr id="291" name="Frame2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53670" cy="175260"/>
                      <wp:effectExtent l="0" t="0" r="0" b="0"/>
                      <wp:wrapNone/>
                      <wp:docPr id="293" name="Frame29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70230" cy="175260"/>
                      <wp:effectExtent l="0" t="0" r="0" b="0"/>
                      <wp:wrapNone/>
                      <wp:docPr id="294" name="Frame29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97790" cy="175260"/>
                      <wp:effectExtent l="0" t="0" r="0" b="0"/>
                      <wp:wrapNone/>
                      <wp:docPr id="295" name="Frame29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center"/>
              <w:rPr/>
            </w:pPr>
            <w:r>
              <w:rPr/>
              <w:t>​</w:t>
            </w:r>
          </w:p>
        </w:tc>
      </w:tr>
      <w:tr>
        <w:trPr/>
        <w:tc>
          <w:tcPr>
            <w:tcW w:w="4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center"/>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 benefits, and related accruals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48,707</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11,149</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Consulting and contracted research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28,522</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38,882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Sales allowance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71,979</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63,787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rebates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108,376</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67,355</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51,720</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40,546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25,741</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27,268</w:t>
            </w:r>
          </w:p>
        </w:tc>
        <w:tc>
          <w:tcPr>
            <w:tcW w:w="154" w:type="dxa"/>
            <w:tcBorders/>
            <w:vAlign w:val="center"/>
          </w:tcPr>
          <w:p>
            <w:pPr>
              <w:pStyle w:val="TableContents"/>
              <w:bidi w:val="0"/>
              <w:spacing w:before="0" w:after="0"/>
              <w:ind w:left="0" w:right="0" w:hanging="0"/>
              <w:jc w:val="left"/>
              <w:rPr/>
            </w:pPr>
            <w:r>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8,618</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358,562</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320,366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three and six month periods ended June 30, 2023, the Company incurred $8.0 million of restructuring costs from a reduction in workforce in connection with the Company’s strategic pipeline prioritization and discontinuation of its preclinical and early research programs in its gene therapy platform. The costs are included in research and development and selling, general, and administrative expenses on the Company’s consolidated statement of operations. </w:t>
      </w:r>
      <w:r>
        <w:rPr>
          <w:rFonts w:ascii="Times New Roman;Times;serif" w:hAnsi="Times New Roman;Times;serif"/>
          <w:sz w:val="20"/>
          <w:shd w:fill="FFFFFF" w:val="clear"/>
        </w:rPr>
        <w:t xml:space="preserve">As of June 30, 2023, the remaining $6.0 million of accrued restructuring costs are included above within employee compensation, benefits, and related accruals.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Capitalization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2019, the Company entered into an At the Market Offering Sales Agreement (the “Sales Agreement”) with Cantor Fitzgerald and RBC Capital Markets, LLC (together, the “Sales Agents”), pursuant to which, the Company may offer and sell shares of its common stock, having an aggregate offering price of up to $125.0 million from time to time through the Sales Agents by any method that is deemed to be an “at the market offering” as defined in Rule 415(a)(4) promulgated under the Securities Act of 1933, as amended. No shares were sold during the three and six months ended June 30, 2023 and 2022. The remaining shares of the Company’s common stock available to be issued and sold, under the At the Market Offering, have an aggregate offering price of up to $93.0 million as of June 30, 2023.</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99" w:name="Tc_e_o9j-buuE2DUuJTph4S5A_8_14"/>
      <w:bookmarkStart w:id="1400" w:name="Tc_HAshjOjXS0eY5u5KQu-pDg_8_12"/>
      <w:bookmarkStart w:id="1401" w:name="Tc_nJ5jl_S2GkiE9QTDbG_obA_8_11"/>
      <w:bookmarkStart w:id="1402" w:name="Tc_nGkNs16YokObTCNxXYqPpw_8_9"/>
      <w:bookmarkStart w:id="1403" w:name="Tc_EAu9ii8f_Eq-XM-iiWEcGw_8_7"/>
      <w:bookmarkStart w:id="1404" w:name="Tc_iLe2eBtXnEyUFxmjl2y6Ig_8_5"/>
      <w:bookmarkStart w:id="1405" w:name="Tc_eqr2dDnGPkyPkA88Ean9WA_8_4"/>
      <w:bookmarkStart w:id="1406" w:name="Tc_bKRqORmj00GOC7vSOoCfOw_8_2"/>
      <w:bookmarkStart w:id="1407" w:name="Tc_fAni5YaELE2IChf9w0Um5A_8_0"/>
      <w:bookmarkStart w:id="1408" w:name="Tc_ywq1Mqfn7EisltujC6sj4g_7_0"/>
      <w:bookmarkStart w:id="1409" w:name="Tc_ysWG_e9tL0iOH16BWxptbw_6_0"/>
      <w:bookmarkStart w:id="1410" w:name="Tc_kPf9JbGWw0mbLJUa6Z9ZWQ_5_0"/>
      <w:bookmarkStart w:id="1411" w:name="Tc_KtlrSso0qUKGgzG8SsHuEw_4_12"/>
      <w:bookmarkStart w:id="1412" w:name="Tc_DDT0WUIK5Ey8P8rU_Z8jCw_4_9"/>
      <w:bookmarkStart w:id="1413" w:name="Tc_lJUmKz04QUaEEwhvwu02Dw_4_5"/>
      <w:bookmarkStart w:id="1414" w:name="Tc_wMUaf35IWUedSPOslIny3w_4_2"/>
      <w:bookmarkStart w:id="1415" w:name="Tc_nQt07qMRpkqzvl55HLzysg_4_0"/>
      <w:bookmarkStart w:id="1416" w:name="Tc_v7zDtpLqhEuUFmDD8C-onQ_3_0"/>
      <w:bookmarkStart w:id="1417" w:name="Tc_O1NZGzFF1kyhMO-tN47G-Q_2_12"/>
      <w:bookmarkStart w:id="1418" w:name="Tc_Ta1iGBbt5Uiu8jsCJJ8b2Q_2_9"/>
      <w:bookmarkStart w:id="1419" w:name="Tc_oSIvoyIsXUapj7mg0etE_w_2_5"/>
      <w:bookmarkStart w:id="1420" w:name="Tc_vGmH5CZLY0WZPA6ayUzHyQ_2_2"/>
      <w:bookmarkStart w:id="1421" w:name="Tc_Sg3xNzYNjEqTPaLtMHcb8Q_1_9"/>
      <w:bookmarkStart w:id="1422" w:name="Tc_7E99iLNDf0-AQpi90DsAYw_1_2"/>
      <w:bookmarkStart w:id="1423" w:name="_626e83b8_0faf_4a8e_baa0_c573491f2cf7"/>
      <w:bookmarkStart w:id="1424" w:name="_72d8f757_c60a_40a3_b0d0_70830ffa9b64"/>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r>
        <w:rPr>
          <w:rFonts w:ascii="Times New Roman;Times;serif" w:hAnsi="Times New Roman;Times;serif"/>
          <w:b/>
          <w:sz w:val="20"/>
        </w:rPr>
        <w:t>7.        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and diluted net loss per share is computed by dividing net loss by the weighted-average number of common shares outstanding. Potentially dilutive securities were excluded from the diluted calculation because their effect would be anti-dilutive.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set forth the computation of basic and diluted net loss per share:</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324"/>
        <w:gridCol w:w="326"/>
        <w:gridCol w:w="211"/>
        <w:gridCol w:w="1036"/>
        <w:gridCol w:w="326"/>
        <w:gridCol w:w="211"/>
        <w:gridCol w:w="1036"/>
        <w:gridCol w:w="326"/>
        <w:gridCol w:w="109"/>
        <w:gridCol w:w="211"/>
        <w:gridCol w:w="1036"/>
        <w:gridCol w:w="326"/>
        <w:gridCol w:w="211"/>
        <w:gridCol w:w="1036"/>
        <w:gridCol w:w="326"/>
        <w:gridCol w:w="154"/>
      </w:tblGrid>
      <w:tr>
        <w:trPr/>
        <w:tc>
          <w:tcPr>
            <w:tcW w:w="3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10740" cy="175260"/>
                      <wp:effectExtent l="0" t="0" r="0" b="0"/>
                      <wp:wrapNone/>
                      <wp:docPr id="296" name="Frame296"/>
                      <a:graphic xmlns:a="http://schemas.openxmlformats.org/drawingml/2006/main">
                        <a:graphicData uri="http://schemas.microsoft.com/office/word/2010/wordprocessingShape">
                          <wps:wsp>
                            <wps:cNvSpPr txBox="1"/>
                            <wps:spPr>
                              <a:xfrm>
                                <a:off x="0" y="0"/>
                                <a:ext cx="2110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57860" cy="175260"/>
                      <wp:effectExtent l="0" t="0" r="0" b="0"/>
                      <wp:wrapNone/>
                      <wp:docPr id="299" name="Frame29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57860" cy="175260"/>
                      <wp:effectExtent l="0" t="0" r="0" b="0"/>
                      <wp:wrapNone/>
                      <wp:docPr id="302" name="Frame3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57860" cy="175260"/>
                      <wp:effectExtent l="0" t="0" r="0" b="0"/>
                      <wp:wrapNone/>
                      <wp:docPr id="306" name="Frame30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57860" cy="175260"/>
                      <wp:effectExtent l="0" t="0" r="0" b="0"/>
                      <wp:wrapNone/>
                      <wp:docPr id="309" name="Frame30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7790" cy="175260"/>
                      <wp:effectExtent l="0" t="0" r="0" b="0"/>
                      <wp:wrapNone/>
                      <wp:docPr id="311" name="Frame3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332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332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(198,883)</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(152,087)</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(337,842)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(278,813)</w:t>
            </w:r>
          </w:p>
        </w:tc>
        <w:tc>
          <w:tcPr>
            <w:tcW w:w="326" w:type="dxa"/>
            <w:tcBorders/>
            <w:vAlign w:val="center"/>
          </w:tcPr>
          <w:p>
            <w:pPr>
              <w:pStyle w:val="TableContents"/>
              <w:bidi w:val="0"/>
              <w:spacing w:before="0" w:after="1"/>
              <w:ind w:left="0" w:right="0" w:hanging="0"/>
              <w:jc w:val="lef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332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 for basic and diluted net loss per share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74,730,433</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71,372,940</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74,232,624</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71,294,458</w:t>
            </w:r>
          </w:p>
        </w:tc>
        <w:tc>
          <w:tcPr>
            <w:tcW w:w="326" w:type="dxa"/>
            <w:tcBorders/>
            <w:vAlign w:val="center"/>
          </w:tcPr>
          <w:p>
            <w:pPr>
              <w:pStyle w:val="TableContents"/>
              <w:bidi w:val="0"/>
              <w:spacing w:before="0" w:after="1"/>
              <w:ind w:left="0" w:right="0" w:hanging="0"/>
              <w:jc w:val="lef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332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1"/>
              <w:ind w:left="0" w:right="0" w:hanging="0"/>
              <w:jc w:val="left"/>
              <w:rPr/>
            </w:pPr>
            <w:r>
              <w:rPr/>
              <w:t>​</w:t>
            </w:r>
          </w:p>
        </w:tc>
      </w:tr>
    </w:tbl>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In the three and six months ended June 30, 2023 and 2022, the Company experienced a net loss and therefore did not report any dilutive share impact.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425" w:name="Tc_9zKEzqCzIE26YrB2ythyhg_5_0"/>
      <w:bookmarkStart w:id="1426" w:name="Tc_3bYxbt6LcE2s8vmT6ip3ag_4_0"/>
      <w:bookmarkStart w:id="1427" w:name="Tc_bgN2ued1TUCgL0shVEK89g_3_0"/>
      <w:bookmarkStart w:id="1428" w:name="Tc_leZKrk7c-0aKPct0_X6Vcg_2_4"/>
      <w:bookmarkStart w:id="1429" w:name="Tc_X-dRa6KZuUyJBE6bCAab9g_2_2"/>
      <w:bookmarkStart w:id="1430" w:name="Tc_5pAaieDTEkO3xCcc7sO-2g_1_2"/>
      <w:bookmarkEnd w:id="1425"/>
      <w:bookmarkEnd w:id="1426"/>
      <w:bookmarkEnd w:id="1427"/>
      <w:bookmarkEnd w:id="1428"/>
      <w:bookmarkEnd w:id="1429"/>
      <w:bookmarkEnd w:id="1430"/>
      <w:r>
        <w:rPr>
          <w:rFonts w:ascii="Times New Roman;Times;serif" w:hAnsi="Times New Roman;Times;serif"/>
          <w:sz w:val="20"/>
        </w:rPr>
        <w:t>The following table shows historical dilutive common share equivalents outstanding, which are not included in the above historical calculation, as the effect of their inclusion is anti-dilutive during each period.</w:t>
      </w:r>
    </w:p>
    <w:p>
      <w:pPr>
        <w:pStyle w:val="TextBody"/>
        <w:bidi w:val="0"/>
        <w:spacing w:before="0" w:after="240"/>
        <w:ind w:left="0" w:right="0" w:hanging="0"/>
        <w:jc w:val="both"/>
        <w:rPr/>
      </w:pPr>
      <w:r>
        <w:rPr/>
        <w:t>​</w:t>
      </w:r>
    </w:p>
    <w:tbl>
      <w:tblPr>
        <w:tblW w:w="6651" w:type="dxa"/>
        <w:jc w:val="left"/>
        <w:tblInd w:w="0" w:type="dxa"/>
        <w:tblLayout w:type="fixed"/>
        <w:tblCellMar>
          <w:top w:w="0" w:type="dxa"/>
          <w:left w:w="0" w:type="dxa"/>
          <w:bottom w:w="0" w:type="dxa"/>
          <w:right w:w="0" w:type="dxa"/>
        </w:tblCellMar>
      </w:tblPr>
      <w:tblGrid>
        <w:gridCol w:w="3556"/>
        <w:gridCol w:w="326"/>
        <w:gridCol w:w="1036"/>
        <w:gridCol w:w="326"/>
        <w:gridCol w:w="1036"/>
        <w:gridCol w:w="37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258060" cy="175260"/>
                      <wp:effectExtent l="0" t="0" r="0" b="0"/>
                      <wp:wrapNone/>
                      <wp:docPr id="312" name="Frame312"/>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57860" cy="175260"/>
                      <wp:effectExtent l="0" t="0" r="0" b="0"/>
                      <wp:wrapNone/>
                      <wp:docPr id="314" name="Frame3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57860" cy="175260"/>
                      <wp:effectExtent l="0" t="0" r="0" b="0"/>
                      <wp:wrapNone/>
                      <wp:docPr id="316" name="Frame3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35585" cy="175260"/>
                      <wp:effectExtent l="0" t="0" r="0" b="0"/>
                      <wp:wrapNone/>
                      <wp:docPr id="317" name="Frame31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71" w:type="dxa"/>
            <w:tcBorders/>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11,674,491</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11,815,952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 and units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3,616,939</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2,514,827</w:t>
            </w:r>
          </w:p>
        </w:tc>
        <w:tc>
          <w:tcPr>
            <w:tcW w:w="371" w:type="dxa"/>
            <w:tcBorders/>
            <w:vAlign w:val="center"/>
          </w:tcPr>
          <w:p>
            <w:pPr>
              <w:pStyle w:val="TableContents"/>
              <w:bidi w:val="0"/>
              <w:spacing w:before="0" w:after="0"/>
              <w:ind w:left="0" w:right="0" w:hanging="0"/>
              <w:jc w:val="lef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15,291,430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14,330,779</w:t>
            </w:r>
          </w:p>
        </w:tc>
        <w:tc>
          <w:tcPr>
            <w:tcW w:w="37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Stock award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2013, the Company’s Board of Directors and stockholders approved the 2013 Long-Term Incentive Plan, which became effective upon the closing of the Company’s initial public offering. On June 8, 2022 (the “Restatement Effective Date”), the Company’s stockholders approved the Amended and Restated 2013 Long-Term Incentive Plan (the “Amended 2013 LTIP”). The Amended 2013 LTIP provides for the grant of incentive stock options, nonstatutory stock options, restricted stock units and other stock-based awards. The number of shares of common stock reserved for issuance under the Amended 2013 LTIP is the sum of (A) the number of shares of the Company’s common stock (up to 16,724,212 shares) that is equal to the sum of (1) the number of shares issued under the 2013 Long-Term Incentive Plan prior to the Restatement Effective Date, (2) the number of shares that remain available for issuance under the 2013 Long-Term Incentive Plan immediately prior to the Restatement Effective Date and (3) the number of shares subject to awards granted under the 2013 Long-Term Incentive Plan prior to the Restatement Effective Date that are outstanding as of the Restatement Effective Date, plus (B) from and after the Restatement Effective Date, an additional 8,475,000 shares of Common Stock. As of June 30, 2023, awards for 6,557,397 shares of common stock are available for issuance under the Amended 2013 LTIP.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additional shares of common stock available for issuance under the Company’s 1998 Employee, Director and Consultant Stock Option Plan, 2009 Equity and Long Term Incentive Plan or 2013 Stock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January 2020, the Company’s Board of Directors approved the 2020 Inducement Stock Incentive Plan. The 2020 Inducement Stock Incentive Plan provides for the grant of incentive stock options, nonstatutory stock options, restricted stock awards and other stock-based awards for, initially, up to at the time, an aggregate of 1,000,000 shares of common stock. Any grants made under the 2020 Inducement Stock Incentive Plan must be made pursuant to the Nasdaq Listing Rule 5635(c)(4) inducement grant exception as a material component of the Company’s new hires’ employment compensation. </w:t>
      </w:r>
      <w:r>
        <w:rPr>
          <w:rFonts w:ascii="Times New Roman;Times;serif" w:hAnsi="Times New Roman;Times;serif"/>
          <w:sz w:val="20"/>
          <w:shd w:fill="FFFFFF" w:val="clear"/>
        </w:rPr>
        <w:t> In December 2020, the Company’s Board of Directors approved an additional 1,000,000 shares of common stock that may be issued under the 2020 Inducement Stock Incentive Plan.  In April 2022, the Company’s Board of Directors approved a reduction in the total number of shares of common stock that may be issued under the 2020 Inducement Stock Incentive Plan to 1,300,000 shares. In December 2022, the Company’s Board of Directors approved an additional 1,700,000 shares of common stock that may be issued under the 2020 Inducement Stock Incentive Plan.  </w:t>
      </w:r>
      <w:r>
        <w:rPr>
          <w:rFonts w:ascii="Times New Roman;Times;serif" w:hAnsi="Times New Roman;Times;serif"/>
          <w:sz w:val="20"/>
        </w:rPr>
        <w:t>As of June 30, 2023, awards for 1,658,300 shares of common stock were available for issuance under the 2020 Inducement Stock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of Directors has the authority to select the individuals to whom options are granted and determine the terms of each option, including (i) the number of shares of common stock subject to the option; (ii) the date on which the option becomes exercisable; (iii) the option exercise price, which, in the case of incentive stock options, must be at least 100% (110% in the case of incentive stock options granted to a stockholder owning in excess of 10% of the Company’s stock) of the fair market value of the common stock as of the date of grant; and (iv) the duration of the option (which, in the case of incentive stock options, may not exceed ten years). Options typically vest over a four-year period.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Inducement stock option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January 1, 2023 through June 30, 2023, the Company issued a total of 992,674 stock options to various employees. Of those, 120,080 were inducement grants for non-statutory stock options, all of which were made pursuant to the 2020 Inducement Stock Incentive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431" w:name="Tc_h391pD1vyEq-RerwlobE3Q_11_4"/>
      <w:bookmarkStart w:id="1432" w:name="Tc_JpaWdy4QMkOLHkXNdCE3Mw_11_0"/>
      <w:bookmarkStart w:id="1433" w:name="Tc_pdqW1-VGeky1Bxv0WqUQtA_10_0"/>
      <w:bookmarkStart w:id="1434" w:name="Tc_4rqA-VU5_0CuK95lCeUiPA_9_0"/>
      <w:bookmarkStart w:id="1435" w:name="Tc_oqxRZKbQf0SLCvhGgaBs9w_8_0"/>
      <w:bookmarkStart w:id="1436" w:name="Tc_sVfpb7fIvEChWRYHNVjt4w_7_4"/>
      <w:bookmarkStart w:id="1437" w:name="Tc_RWJBCe7N20SQjtpLYnqt7A_7_0"/>
      <w:bookmarkStart w:id="1438" w:name="Tc_8hCuoivBBUmtGqUkaMQJxQ_6_4"/>
      <w:bookmarkStart w:id="1439" w:name="Tc_KvuXePEGWEuOtJBY5yj04g_6_2"/>
      <w:bookmarkStart w:id="1440" w:name="Tc_lGIsZXAZRkOtNkm4bsGT5w_5_4"/>
      <w:bookmarkStart w:id="1441" w:name="Tc_9PpqNBwMfkyjsAZ3kGMZ5A_5_2"/>
      <w:bookmarkStart w:id="1442" w:name="Tc_XwG8auvlJk2VxwoVLNl0KQ_4_4"/>
      <w:bookmarkStart w:id="1443" w:name="Tc_sWz6_wEoMUKL6c3Mtw6S2w_3_4"/>
      <w:bookmarkStart w:id="1444" w:name="Tc_LNwNqlbiu0-k6RzOF17NhA_2_4"/>
      <w:bookmarkStart w:id="1445" w:name="Tc_PlrAoJsohkSJSCj_KiJF4g_1_2"/>
      <w:bookmarkStart w:id="1446" w:name="_38c07856_2b3d_447e_b23f_a1950139b63b"/>
      <w:bookmarkStart w:id="1447" w:name="Tc_z4o2fDE5M0uZ2beZmryD-w_13_10"/>
      <w:bookmarkStart w:id="1448" w:name="Tc_487SQkAYKECkJrvFT3ZT8A_13_8"/>
      <w:bookmarkStart w:id="1449" w:name="Tc_n2xkUt0kfkuInpcKbPIvKw_13_4"/>
      <w:bookmarkStart w:id="1450" w:name="Tc_cqmwrQjzekWIybzfV7Somg_13_0"/>
      <w:bookmarkStart w:id="1451" w:name="Tc_R-jV7BxdFUOn8P35Ue2a7w_12_10"/>
      <w:bookmarkStart w:id="1452" w:name="Tc_o-Ku6Pls0UGpFcXyu6EEeA_12_8"/>
      <w:bookmarkStart w:id="1453" w:name="Tc_eIGkwbZMPkqQuliqoDu2ow_12_4"/>
      <w:bookmarkStart w:id="1454" w:name="Tc_06ssOpsEKEiCOBIEuSLUYA_12_0"/>
      <w:bookmarkStart w:id="1455" w:name="Tc_Q_LuipEmuUew062Hq1BYTg_11_10"/>
      <w:bookmarkStart w:id="1456" w:name="Tc_srIngBPPekqXJf-Ftk3lTg_11_8"/>
      <w:bookmarkStart w:id="1457" w:name="Tc_NaJy9GTtzkKYuuMcxOVxvQ_11_4"/>
      <w:bookmarkStart w:id="1458" w:name="Tc_XQAVqiUnBEizyklETiP77Q_11_0"/>
      <w:bookmarkStart w:id="1459" w:name="Tc_ILRCWuuxdkemZFSUIrWY1g_10_4"/>
      <w:bookmarkStart w:id="1460" w:name="Tc_FvgmfpzyAE-VuIwiZX90Gw_10_0"/>
      <w:bookmarkStart w:id="1461" w:name="Tc_VVvEuaCMOUCexqPZQDJM5g_9_4"/>
      <w:bookmarkStart w:id="1462" w:name="Tc_OAN1nCKr5kGJMYsE9vJC4w_9_0"/>
      <w:bookmarkStart w:id="1463" w:name="Tc_9t1ZRZyFOEGpWrycGPeAdA_8_4"/>
      <w:bookmarkStart w:id="1464" w:name="Tc_rmrxpdmbE0-S4fo2YeSGaA_8_0"/>
      <w:bookmarkStart w:id="1465" w:name="Tc_QAdZRkp9ek6WKe_NbOHfTA_7_4"/>
      <w:bookmarkStart w:id="1466" w:name="Tc_xgZngXkpA0iEkXPxoUE8qA_7_0"/>
      <w:bookmarkStart w:id="1467" w:name="Tc_gwTYAyndjEedlORn5OkWvg_5_10"/>
      <w:bookmarkStart w:id="1468" w:name="Tc_qEP1j8Q5P02-_lIjCudFFA_5_7"/>
      <w:bookmarkStart w:id="1469" w:name="Tc_awiSwcmmDk-H6X434XOeyA_5_4"/>
      <w:bookmarkStart w:id="1470" w:name="Tc_4VCGJoTzYkGZCv3QhAjyhg_5_2"/>
      <w:bookmarkStart w:id="1471" w:name="Tc_tUp-XH3AE0aoWh_LwTawcw_4_10"/>
      <w:bookmarkStart w:id="1472" w:name="Tc_q8QTnwjFZESmtINRD0-AGg_4_7"/>
      <w:bookmarkStart w:id="1473" w:name="Tc_S6J5K9cFg06K9jiMzbvoFw_4_4"/>
      <w:bookmarkStart w:id="1474" w:name="Tc_rvDjbNUE6E6a5X9QM1nHMQ_4_2"/>
      <w:bookmarkStart w:id="1475" w:name="Tc_9XFADeJmWE-Ltgbua9ILLg_3_10"/>
      <w:bookmarkStart w:id="1476" w:name="Tc_C2BzhrwHS0m-N5eChk6TZg_3_7"/>
      <w:bookmarkStart w:id="1477" w:name="Tc_KM1zp9MHtkCObtRPVg3O6w_3_4"/>
      <w:bookmarkStart w:id="1478" w:name="Tc_1Gg3d3W9sU6bqGxHhXYErA_2_10"/>
      <w:bookmarkStart w:id="1479" w:name="Tc_u04YAI5cCEufCNO0usFj_w_2_7"/>
      <w:bookmarkStart w:id="1480" w:name="Tc_2YpfFNpbD0-ozRBbW_vf8A_2_4"/>
      <w:bookmarkStart w:id="1481" w:name="Tc_qoFMMt_LRkW0p9gtywv8oA_1_7"/>
      <w:bookmarkStart w:id="1482" w:name="_3da6b62d_c4e2_40a2_814d_5d29f87d4907"/>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r>
        <w:rPr>
          <w:rFonts w:ascii="Times New Roman;Times;serif" w:hAnsi="Times New Roman;Times;serif"/>
          <w:i/>
          <w:sz w:val="20"/>
        </w:rPr>
        <w:t>Stock option activity</w:t>
      </w:r>
      <w:r>
        <w:rPr>
          <w:rFonts w:ascii="Times New Roman;Times;serif" w:hAnsi="Times New Roman;Times;serif"/>
          <w:sz w:val="20"/>
        </w:rPr>
        <w:t>—A summary of stock option activity is as follows:</w:t>
      </w:r>
    </w:p>
    <w:p>
      <w:pPr>
        <w:pStyle w:val="TextBody"/>
        <w:bidi w:val="0"/>
        <w:spacing w:before="0" w:after="240"/>
        <w:ind w:left="0" w:right="0" w:hanging="0"/>
        <w:jc w:val="both"/>
        <w:rPr/>
      </w:pPr>
      <w:r>
        <w:rPr/>
        <w:t>​</w:t>
      </w:r>
    </w:p>
    <w:tbl>
      <w:tblPr>
        <w:tblW w:w="9212" w:type="dxa"/>
        <w:jc w:val="left"/>
        <w:tblInd w:w="0" w:type="dxa"/>
        <w:tblLayout w:type="fixed"/>
        <w:tblCellMar>
          <w:top w:w="0" w:type="dxa"/>
          <w:left w:w="0" w:type="dxa"/>
          <w:bottom w:w="0" w:type="dxa"/>
          <w:right w:w="0" w:type="dxa"/>
        </w:tblCellMar>
      </w:tblPr>
      <w:tblGrid>
        <w:gridCol w:w="3661"/>
        <w:gridCol w:w="326"/>
        <w:gridCol w:w="1036"/>
        <w:gridCol w:w="326"/>
        <w:gridCol w:w="230"/>
        <w:gridCol w:w="625"/>
        <w:gridCol w:w="326"/>
        <w:gridCol w:w="946"/>
        <w:gridCol w:w="526"/>
        <w:gridCol w:w="206"/>
        <w:gridCol w:w="211"/>
        <w:gridCol w:w="793"/>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324735" cy="175260"/>
                      <wp:effectExtent l="0" t="0" r="0" b="0"/>
                      <wp:wrapNone/>
                      <wp:docPr id="318" name="Frame318"/>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57860" cy="175260"/>
                      <wp:effectExtent l="0" t="0" r="0" b="0"/>
                      <wp:wrapNone/>
                      <wp:docPr id="320" name="Frame3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46050" cy="175260"/>
                      <wp:effectExtent l="0" t="0" r="0" b="0"/>
                      <wp:wrapNone/>
                      <wp:docPr id="322" name="Frame32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96875" cy="175260"/>
                      <wp:effectExtent l="0" t="0" r="0" b="0"/>
                      <wp:wrapNone/>
                      <wp:docPr id="323" name="Frame32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00710" cy="175260"/>
                      <wp:effectExtent l="0" t="0" r="0" b="0"/>
                      <wp:wrapNone/>
                      <wp:docPr id="325" name="Frame32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34010" cy="175260"/>
                      <wp:effectExtent l="0" t="0" r="0" b="0"/>
                      <wp:wrapNone/>
                      <wp:docPr id="326" name="Frame32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0810" cy="175260"/>
                      <wp:effectExtent l="0" t="0" r="0" b="0"/>
                      <wp:wrapNone/>
                      <wp:docPr id="327" name="Frame32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03555" cy="175260"/>
                      <wp:effectExtent l="0" t="0" r="0" b="0"/>
                      <wp:wrapNone/>
                      <wp:docPr id="329" name="Frame329"/>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5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5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5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5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0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value(in </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5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thousands)</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pPr>
            <w:r>
              <w:rPr/>
              <w:t>​</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11,502,417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5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992,674</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5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  </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(692,612)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c>
          <w:tcPr>
            <w:tcW w:w="526"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(127,988)</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49.84</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c>
          <w:tcPr>
            <w:tcW w:w="52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  </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11,674,491</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43.92</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44,184</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or Expected to vest at June 30, 2023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3,112,415</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47.05</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8,259,224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42.71</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40,195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grants made in the six months ended June 30, 2023 was contemporaneously estimated on the date of grant using the following assumptions:</w:t>
      </w:r>
    </w:p>
    <w:p>
      <w:pPr>
        <w:pStyle w:val="TextBody"/>
        <w:bidi w:val="0"/>
        <w:spacing w:before="0" w:after="0"/>
        <w:ind w:left="0" w:right="0" w:hanging="0"/>
        <w:jc w:val="left"/>
        <w:rPr/>
      </w:pPr>
      <w:r>
        <w:rPr/>
        <w:t>​</w:t>
      </w:r>
    </w:p>
    <w:tbl>
      <w:tblPr>
        <w:tblW w:w="3628" w:type="dxa"/>
        <w:jc w:val="left"/>
        <w:tblInd w:w="0" w:type="dxa"/>
        <w:tblLayout w:type="fixed"/>
        <w:tblCellMar>
          <w:top w:w="0" w:type="dxa"/>
          <w:left w:w="0" w:type="dxa"/>
          <w:bottom w:w="0" w:type="dxa"/>
          <w:right w:w="0" w:type="dxa"/>
        </w:tblCellMar>
      </w:tblPr>
      <w:tblGrid>
        <w:gridCol w:w="1846"/>
        <w:gridCol w:w="326"/>
        <w:gridCol w:w="145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172210" cy="175260"/>
                      <wp:effectExtent l="0" t="0" r="0" b="0"/>
                      <wp:wrapNone/>
                      <wp:docPr id="330" name="Frame330"/>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924560" cy="175260"/>
                      <wp:effectExtent l="0" t="0" r="0" b="0"/>
                      <wp:wrapNone/>
                      <wp:docPr id="332" name="Frame33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3.54% - 3.88%</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 - 54%</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5.5 years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assumed no expected dividends for all grants. The weighted average grant date fair value of options granted during the six months ended June 30, 2023 was $21.89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expected term of options was estimated based on the Company’s historical exercise data and the expected volatility of options was estimated based on the Company’s historical stock volatility. The risk-free rate of the options was based on U.S. Government Securities Treasury Constant Maturities yields at the date of grant for a term similar to the expected term of the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Restricted Stock Awards and Restricted Stock Units</w:t>
      </w:r>
      <w:r>
        <w:rPr>
          <w:rFonts w:ascii="Times New Roman;Times;serif" w:hAnsi="Times New Roman;Times;serif"/>
          <w:sz w:val="20"/>
        </w:rPr>
        <w:t>—Restricted stock awards and restricted stock units are granted subject to certain restrictions, including in some cases service or time conditions (restricted stock). The grant-date fair value of restricted stock awards and restricted stock units, which have been determined based upon the market value of the Company’s shares on the grant date, are expensed over the vesting period.  From January 1, 2023, through June 30, 2023, the Company issued a total of 1,943,288 restricted stock units to various employees. Of those, 78,525 were inducement grants for restricted stock units, all of which were made pursuant to the 2020 Inducement Stock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information on the Company’s restricted stock awards and units:</w:t>
      </w:r>
    </w:p>
    <w:p>
      <w:pPr>
        <w:pStyle w:val="TextBody"/>
        <w:bidi w:val="0"/>
        <w:spacing w:before="0" w:after="0"/>
        <w:ind w:left="0" w:right="0" w:hanging="0"/>
        <w:jc w:val="left"/>
        <w:rPr/>
      </w:pPr>
      <w:r>
        <w:rPr/>
        <w:t>​</w:t>
      </w:r>
    </w:p>
    <w:tbl>
      <w:tblPr>
        <w:tblW w:w="5698" w:type="dxa"/>
        <w:jc w:val="left"/>
        <w:tblInd w:w="0" w:type="dxa"/>
        <w:tblLayout w:type="fixed"/>
        <w:tblCellMar>
          <w:top w:w="0" w:type="dxa"/>
          <w:left w:w="0" w:type="dxa"/>
          <w:bottom w:w="0" w:type="dxa"/>
          <w:right w:w="0" w:type="dxa"/>
        </w:tblCellMar>
      </w:tblPr>
      <w:tblGrid>
        <w:gridCol w:w="2701"/>
        <w:gridCol w:w="326"/>
        <w:gridCol w:w="1153"/>
        <w:gridCol w:w="403"/>
        <w:gridCol w:w="261"/>
        <w:gridCol w:w="854"/>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715135" cy="175260"/>
                      <wp:effectExtent l="0" t="0" r="0" b="0"/>
                      <wp:wrapNone/>
                      <wp:docPr id="333" name="Frame333"/>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732155" cy="175260"/>
                      <wp:effectExtent l="0" t="0" r="0" b="0"/>
                      <wp:wrapNone/>
                      <wp:docPr id="335" name="Frame335"/>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55905" cy="175260"/>
                      <wp:effectExtent l="0" t="0" r="0" b="0"/>
                      <wp:wrapNone/>
                      <wp:docPr id="336" name="Frame33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65735" cy="175260"/>
                      <wp:effectExtent l="0" t="0" r="0" b="0"/>
                      <wp:wrapNone/>
                      <wp:docPr id="337" name="Frame337"/>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42290" cy="175260"/>
                      <wp:effectExtent l="0" t="0" r="0" b="0"/>
                      <wp:wrapNone/>
                      <wp:docPr id="338" name="Frame338"/>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Awards and Units</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center"/>
              <w:rPr/>
            </w:pPr>
            <w:r>
              <w:rPr/>
              <w:t>​</w:t>
            </w:r>
          </w:p>
        </w:tc>
        <w:tc>
          <w:tcPr>
            <w:tcW w:w="403"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center"/>
              <w:rPr/>
            </w:pPr>
            <w:r>
              <w:rPr/>
              <w:t>​</w:t>
            </w:r>
          </w:p>
        </w:tc>
        <w:tc>
          <w:tcPr>
            <w:tcW w:w="403"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center"/>
              <w:rPr/>
            </w:pPr>
            <w:r>
              <w:rPr/>
              <w:t>​</w:t>
            </w:r>
          </w:p>
        </w:tc>
        <w:tc>
          <w:tcPr>
            <w:tcW w:w="403"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403"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403" w:type="dxa"/>
            <w:tcBorders/>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2,516,336</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45.67</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1,943,288</w:t>
            </w:r>
          </w:p>
        </w:tc>
        <w:tc>
          <w:tcPr>
            <w:tcW w:w="403"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(751,448)</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46.46</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(91,237)</w:t>
            </w:r>
          </w:p>
        </w:tc>
        <w:tc>
          <w:tcPr>
            <w:tcW w:w="403"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42.49</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3,616,939</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42.54</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Employee Stock Purchase Plan</w:t>
      </w:r>
      <w:r>
        <w:rPr>
          <w:rFonts w:ascii="Times New Roman;Times;serif" w:hAnsi="Times New Roman;Times;serif"/>
          <w:sz w:val="20"/>
        </w:rPr>
        <w:t xml:space="preserve">—In June 2016, the Company established an Employee Stock Purchase Plan (as amended, “ESPP” or the "Plan”), for certain eligible employees. The Plan is administered by the Company’s Board of Directors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83" w:name="Tc_evgSMjbMdE6dD3jcjmCfQQ_5_11"/>
      <w:bookmarkStart w:id="1484" w:name="Tc_HbMS5VbEm0GQh7ArTngnaQ_5_8"/>
      <w:bookmarkStart w:id="1485" w:name="Tc_gXaB2jQ7jUeM-xBHOktYGw_5_5"/>
      <w:bookmarkStart w:id="1486" w:name="Tc_oOvbf_fqgkqBmzxwSAk40A_5_2"/>
      <w:bookmarkStart w:id="1487" w:name="Tc_C0oPmBPPcUePja_OpGQ_pg_5_0"/>
      <w:bookmarkStart w:id="1488" w:name="Tc_gJivR9zUekqgnhFZbwlMEw_4_0"/>
      <w:bookmarkStart w:id="1489" w:name="Tc_KjDwcKmXWEelaJAuXcoQCA_3_11"/>
      <w:bookmarkStart w:id="1490" w:name="Tc_a5ai64hugEOGWLDnxuy9EA_3_8"/>
      <w:bookmarkStart w:id="1491" w:name="Tc_OtHSm1dThUa1S-AG7jpFHw_3_5"/>
      <w:bookmarkStart w:id="1492" w:name="Tc_4-okSdzyEU-Sr97HH17OwA_3_2"/>
      <w:bookmarkStart w:id="1493" w:name="Tc_Ey3sIGqdjUeGhkAJlHbjUg_3_0"/>
      <w:bookmarkStart w:id="1494" w:name="Tc_uXa3H56WbkGjBFzCewatmA_2_11"/>
      <w:bookmarkStart w:id="1495" w:name="Tc_DMFskkBbzk2QttkL6oZj-g_2_8"/>
      <w:bookmarkStart w:id="1496" w:name="Tc_5V1BgV5_OE2yKIu6pvpPbA_2_5"/>
      <w:bookmarkStart w:id="1497" w:name="Tc_26ufAELbv0qXz-j18YL8Cg_2_2"/>
      <w:bookmarkStart w:id="1498" w:name="Tc_euZDn-8oLkiPHqv_EYWrcw_1_8"/>
      <w:bookmarkStart w:id="1499" w:name="Tc__OhxhDODCEeHpoXzBI8u_w_1_2"/>
      <w:bookmarkStart w:id="1500" w:name="_99f5533f_91ce_48e6_b0b4_e02744c4c44a"/>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r>
        <w:rPr>
          <w:rFonts w:ascii="Times New Roman;Times;serif" w:hAnsi="Times New Roman;Times;serif"/>
          <w:sz w:val="20"/>
        </w:rPr>
        <w:t>a committee appointed by the Company’s Board of Directors. In June 2021, the Plan was amended to increase the total number of shares available for purchase under the Plan from one million shares to two million shares of the Company’s common stock. Employees may participate over a six month period through payroll withholdings and may purchase, at the end of the six month period, the Company’s common stock at a purchase price of at least 85% of the closing price of a share of the Company’s common stock on the first business day of the offering period or the closing price of a share of the Company’s common stock on the last business day of the offering period, whichever is lower. No participant will be granted a right to purchase the Company’s common stock under the Plan if such participant would own more than 5% of the total combined voting power of the Company or any subsidiary of the Company after such purchase. For the three and six months ended June 30, 2023, the Company recorded $0.6 million and $1.3 million, respectively, in compensation expense related to the ESPP.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share-based compensation expense in the statement of operations related to incentive stock options, nonstatutory stock options, restricted stock awards, restricted stock units and the ESPP as follows:</w:t>
      </w:r>
    </w:p>
    <w:p>
      <w:pPr>
        <w:pStyle w:val="TextBody"/>
        <w:bidi w:val="0"/>
        <w:spacing w:before="0" w:after="240"/>
        <w:ind w:left="0" w:right="0" w:hanging="0"/>
        <w:jc w:val="both"/>
        <w:rPr/>
      </w:pPr>
      <w:r>
        <w:rPr/>
        <w:t>​</w:t>
      </w:r>
    </w:p>
    <w:tbl>
      <w:tblPr>
        <w:tblW w:w="8184" w:type="dxa"/>
        <w:jc w:val="left"/>
        <w:tblInd w:w="0" w:type="dxa"/>
        <w:tblLayout w:type="fixed"/>
        <w:tblCellMar>
          <w:top w:w="0" w:type="dxa"/>
          <w:left w:w="0" w:type="dxa"/>
          <w:bottom w:w="0" w:type="dxa"/>
          <w:right w:w="0" w:type="dxa"/>
        </w:tblCellMar>
      </w:tblPr>
      <w:tblGrid>
        <w:gridCol w:w="2956"/>
        <w:gridCol w:w="326"/>
        <w:gridCol w:w="232"/>
        <w:gridCol w:w="743"/>
        <w:gridCol w:w="358"/>
        <w:gridCol w:w="232"/>
        <w:gridCol w:w="743"/>
        <w:gridCol w:w="326"/>
        <w:gridCol w:w="212"/>
        <w:gridCol w:w="681"/>
        <w:gridCol w:w="328"/>
        <w:gridCol w:w="212"/>
        <w:gridCol w:w="681"/>
        <w:gridCol w:w="154"/>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877060" cy="175260"/>
                      <wp:effectExtent l="0" t="0" r="0" b="0"/>
                      <wp:wrapNone/>
                      <wp:docPr id="339" name="Frame339"/>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47320" cy="175260"/>
                      <wp:effectExtent l="0" t="0" r="0" b="0"/>
                      <wp:wrapNone/>
                      <wp:docPr id="341" name="Frame34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71805" cy="175260"/>
                      <wp:effectExtent l="0" t="0" r="0" b="0"/>
                      <wp:wrapNone/>
                      <wp:docPr id="342" name="Frame342"/>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27330" cy="175260"/>
                      <wp:effectExtent l="0" t="0" r="0" b="0"/>
                      <wp:wrapNone/>
                      <wp:docPr id="343" name="Frame343"/>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47320" cy="175260"/>
                      <wp:effectExtent l="0" t="0" r="0" b="0"/>
                      <wp:wrapNone/>
                      <wp:docPr id="344" name="Frame34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71805" cy="175260"/>
                      <wp:effectExtent l="0" t="0" r="0" b="0"/>
                      <wp:wrapNone/>
                      <wp:docPr id="345" name="Frame345"/>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4620" cy="175260"/>
                      <wp:effectExtent l="0" t="0" r="0" b="0"/>
                      <wp:wrapNone/>
                      <wp:docPr id="347" name="Frame34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32435" cy="175260"/>
                      <wp:effectExtent l="0" t="0" r="0" b="0"/>
                      <wp:wrapNone/>
                      <wp:docPr id="348" name="Frame348"/>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8280" cy="175260"/>
                      <wp:effectExtent l="0" t="0" r="0" b="0"/>
                      <wp:wrapNone/>
                      <wp:docPr id="349" name="Frame34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4620" cy="175260"/>
                      <wp:effectExtent l="0" t="0" r="0" b="0"/>
                      <wp:wrapNone/>
                      <wp:docPr id="350" name="Frame35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32435" cy="175260"/>
                      <wp:effectExtent l="0" t="0" r="0" b="0"/>
                      <wp:wrapNone/>
                      <wp:docPr id="351" name="Frame351"/>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97790" cy="175260"/>
                      <wp:effectExtent l="0" t="0" r="0" b="0"/>
                      <wp:wrapNone/>
                      <wp:docPr id="352" name="Frame3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8" w:type="dxa"/>
            <w:tcBorders/>
            <w:vAlign w:val="center"/>
          </w:tcPr>
          <w:p>
            <w:pPr>
              <w:pStyle w:val="TableContents"/>
              <w:bidi w:val="0"/>
              <w:spacing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8" w:type="dxa"/>
            <w:tcBorders/>
            <w:vAlign w:val="center"/>
          </w:tcPr>
          <w:p>
            <w:pPr>
              <w:pStyle w:val="TableContents"/>
              <w:bidi w:val="0"/>
              <w:spacing w:before="0" w:after="0"/>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15,529</w:t>
            </w:r>
          </w:p>
        </w:tc>
        <w:tc>
          <w:tcPr>
            <w:tcW w:w="358"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13,798</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30,842</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13,842</w:t>
            </w:r>
          </w:p>
        </w:tc>
        <w:tc>
          <w:tcPr>
            <w:tcW w:w="358"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13,932</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27,344</w:t>
            </w:r>
          </w:p>
        </w:tc>
        <w:tc>
          <w:tcPr>
            <w:tcW w:w="328"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27,487</w:t>
            </w:r>
          </w:p>
        </w:tc>
        <w:tc>
          <w:tcPr>
            <w:tcW w:w="154"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29,371</w:t>
            </w:r>
          </w:p>
        </w:tc>
        <w:tc>
          <w:tcPr>
            <w:tcW w:w="358"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27,730</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58,186</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54,319</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2023, there was approximately $212.7 million of total unrecognized compensation cost related to unvested share-based compensation arrangements granted under the Company’s equity award plans. This cost is expected to be recognized as share-based compensation expense over the weighted average remaining service period of approximately 2.3 years.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01" w:name="Tc_h59DhPjkcEKFzv-QCM-XMQ_7_4"/>
      <w:bookmarkStart w:id="1502" w:name="Tc_dAZ_ttgeu0qvzysF37CYfQ_7_0"/>
      <w:bookmarkStart w:id="1503" w:name="Tc_iNHOjsontEmlbJAHoO043g_6_2"/>
      <w:bookmarkStart w:id="1504" w:name="Tc_2WDBNfgrxUiqCyBqorTAmg_6_0"/>
      <w:bookmarkStart w:id="1505" w:name="Tc_A0cphHAfVEewxkUXTGRP-g_5_0"/>
      <w:bookmarkStart w:id="1506" w:name="Tc_imbxo8GTzUiOI1kpb0AKrQ_4_0"/>
      <w:bookmarkStart w:id="1507" w:name="Tc_OmNDSDtD8UqTfLpiMCccvA_3_2"/>
      <w:bookmarkStart w:id="1508" w:name="Tc_W5vlzlvEOkC8Xk-eaclTgw_3_0"/>
      <w:bookmarkStart w:id="1509" w:name="Tc_YniMFDAuLkKAT2LzbD1XZg_2_2"/>
      <w:bookmarkStart w:id="1510" w:name="Tc_g20i7JM2AEK3wahEaTe2-w_2_0"/>
      <w:bookmarkStart w:id="1511" w:name="Tc__2ifaW3taE6z6ACcYO-ZNg_1_2"/>
      <w:bookmarkEnd w:id="1501"/>
      <w:bookmarkEnd w:id="1502"/>
      <w:bookmarkEnd w:id="1503"/>
      <w:bookmarkEnd w:id="1504"/>
      <w:bookmarkEnd w:id="1505"/>
      <w:bookmarkEnd w:id="1506"/>
      <w:bookmarkEnd w:id="1507"/>
      <w:bookmarkEnd w:id="1508"/>
      <w:bookmarkEnd w:id="1509"/>
      <w:bookmarkEnd w:id="1510"/>
      <w:bookmarkEnd w:id="1511"/>
      <w:r>
        <w:rPr>
          <w:rFonts w:ascii="Times New Roman;Times;serif" w:hAnsi="Times New Roman;Times;serif"/>
          <w:b/>
          <w:sz w:val="20"/>
        </w:rPr>
        <w:t>9.        Debt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Liability for sale of future royalties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July 2020, the Company entered into the Royalty Purchase Agreement. As RPI’s interest is explicitly limited, the $650.0 million cash consideration was classified as debt and is recorded as “liability for sale of future royalties-current” and “liability for sale of future royalties-noncurrent” on the Company’s consolidated balance sheet based on the timing of the expected payments to be made to RPI. The fair value for the liability for sale of future royalties at the time of the transaction was based on the Company’s estimates of future royalties expected to be paid to RPI over the life of the arrangement, which was determined using forecasts from market data sources, which are considered Level 3 inputs. The liability is being amortized using the effective interest method over the life of the arrangement, in accordance with ASC 470 and ASC 835. The initial annual effective interest rate was determined to be 11.0%. The Company utilizes the prospective method to account for subsequent changes in the estimated future payments to be made to RPI and updates the effective interest rate on a quarterly basis. Issuance costs related to the transaction were determined to be immaterial.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shows the activity within the “liability for sale of future royalties- current” and “liability for sale of future royalties- noncurrent” accounts for the six months ended June 30, 2023:</w:t>
      </w:r>
    </w:p>
    <w:p>
      <w:pPr>
        <w:pStyle w:val="TextBody"/>
        <w:bidi w:val="0"/>
        <w:spacing w:before="0" w:after="0"/>
        <w:ind w:left="0" w:right="0" w:hanging="0"/>
        <w:jc w:val="both"/>
        <w:rPr/>
      </w:pPr>
      <w:r>
        <w:rPr/>
        <w:t>​</w:t>
      </w:r>
    </w:p>
    <w:tbl>
      <w:tblPr>
        <w:tblW w:w="7378" w:type="dxa"/>
        <w:jc w:val="left"/>
        <w:tblInd w:w="0" w:type="dxa"/>
        <w:tblLayout w:type="fixed"/>
        <w:tblCellMar>
          <w:top w:w="0" w:type="dxa"/>
          <w:left w:w="0" w:type="dxa"/>
          <w:bottom w:w="0" w:type="dxa"/>
          <w:right w:w="0" w:type="dxa"/>
        </w:tblCellMar>
      </w:tblPr>
      <w:tblGrid>
        <w:gridCol w:w="4621"/>
        <w:gridCol w:w="326"/>
        <w:gridCol w:w="443"/>
        <w:gridCol w:w="1672"/>
        <w:gridCol w:w="316"/>
      </w:tblGrid>
      <w:tr>
        <w:trPr/>
        <w:tc>
          <w:tcPr>
            <w:tcW w:w="4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934335" cy="175260"/>
                      <wp:effectExtent l="0" t="0" r="0" b="0"/>
                      <wp:wrapNone/>
                      <wp:docPr id="353" name="Frame353"/>
                      <a:graphic xmlns:a="http://schemas.openxmlformats.org/drawingml/2006/main">
                        <a:graphicData uri="http://schemas.microsoft.com/office/word/2010/wordprocessingShape">
                          <wps:wsp>
                            <wps:cNvSpPr txBox="1"/>
                            <wps:spPr>
                              <a:xfrm>
                                <a:off x="0" y="0"/>
                                <a:ext cx="293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81305" cy="175260"/>
                      <wp:effectExtent l="0" t="0" r="0" b="0"/>
                      <wp:wrapNone/>
                      <wp:docPr id="355" name="Frame355"/>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061720" cy="175260"/>
                      <wp:effectExtent l="0" t="0" r="0" b="0"/>
                      <wp:wrapNone/>
                      <wp:docPr id="356" name="Frame356"/>
                      <a:graphic xmlns:a="http://schemas.openxmlformats.org/drawingml/2006/main">
                        <a:graphicData uri="http://schemas.microsoft.com/office/word/2010/wordprocessingShape">
                          <wps:wsp>
                            <wps:cNvSpPr txBox="1"/>
                            <wps:spPr>
                              <a:xfrm>
                                <a:off x="0" y="0"/>
                                <a:ext cx="1061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0660" cy="175260"/>
                      <wp:effectExtent l="0" t="0" r="0" b="0"/>
                      <wp:wrapNone/>
                      <wp:docPr id="357" name="Frame35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center"/>
              <w:rPr/>
            </w:pPr>
            <w:r>
              <w:rPr/>
              <w:t>​</w:t>
            </w:r>
          </w:p>
        </w:tc>
      </w:tr>
      <w:tr>
        <w:trPr/>
        <w:tc>
          <w:tcPr>
            <w:tcW w:w="46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Liability for sale of future royalties- (current and noncurrent)</w:t>
            </w:r>
          </w:p>
        </w:tc>
        <w:tc>
          <w:tcPr>
            <w:tcW w:w="326" w:type="dxa"/>
            <w:tcBorders/>
            <w:vAlign w:val="center"/>
          </w:tcPr>
          <w:p>
            <w:pPr>
              <w:pStyle w:val="TableContents"/>
              <w:bidi w:val="0"/>
              <w:spacing w:before="0" w:after="0"/>
              <w:ind w:left="0" w:right="0" w:hanging="0"/>
              <w:jc w:val="left"/>
              <w:rPr/>
            </w:pPr>
            <w:r>
              <w:rPr/>
              <w:t>​</w:t>
            </w:r>
          </w:p>
        </w:tc>
        <w:tc>
          <w:tcPr>
            <w:tcW w:w="2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757,886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Non-cash royalty revenue payable to RPI</w:t>
            </w:r>
          </w:p>
        </w:tc>
        <w:tc>
          <w:tcPr>
            <w:tcW w:w="326"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(29,059)</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Non-cash interest expense recognized</w:t>
            </w:r>
          </w:p>
        </w:tc>
        <w:tc>
          <w:tcPr>
            <w:tcW w:w="326" w:type="dxa"/>
            <w:tcBorders/>
            <w:shd w:fill="CCEEFF" w:val="clear"/>
            <w:vAlign w:val="center"/>
          </w:tcPr>
          <w:p>
            <w:pPr>
              <w:pStyle w:val="TableContents"/>
              <w:bidi w:val="0"/>
              <w:spacing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37,753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6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vAlign w:val="center"/>
          </w:tcPr>
          <w:p>
            <w:pPr>
              <w:pStyle w:val="TableContents"/>
              <w:bidi w:val="0"/>
              <w:spacing w:before="0" w:after="0"/>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766,580</w:t>
            </w:r>
          </w:p>
        </w:tc>
        <w:tc>
          <w:tcPr>
            <w:tcW w:w="316" w:type="dxa"/>
            <w:tcBorders/>
            <w:vAlign w:val="center"/>
          </w:tcPr>
          <w:p>
            <w:pPr>
              <w:pStyle w:val="TableContents"/>
              <w:bidi w:val="0"/>
              <w:spacing w:before="0" w:after="0"/>
              <w:ind w:left="0" w:right="0" w:hanging="0"/>
              <w:jc w:val="left"/>
              <w:rPr/>
            </w:pPr>
            <w:r>
              <w:rPr/>
              <w:t>​</w:t>
            </w:r>
          </w:p>
        </w:tc>
      </w:tr>
      <w:tr>
        <w:trPr/>
        <w:tc>
          <w:tcPr>
            <w:tcW w:w="46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 as of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 </w:t>
            </w:r>
          </w:p>
        </w:tc>
        <w:tc>
          <w:tcPr>
            <w:tcW w:w="1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Non-cash interest expense is recorded in the statement of operations within “Interest expense, net”.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bookmarkStart w:id="1512" w:name="Tc_Exf3CCMjF0ClZUiooKuqGw_4_5"/>
      <w:bookmarkStart w:id="1513" w:name="Tc_gOD9S1d7YUCpWONBacIo-g_4_2"/>
      <w:bookmarkStart w:id="1514" w:name="Tc_-btXb_mdnUqHECdRU5e2YA_4_0"/>
      <w:bookmarkStart w:id="1515" w:name="Tc_8i2r2ZTSLEiwQ_5EvlacKg_3_0"/>
      <w:bookmarkStart w:id="1516" w:name="Tc_XZ10CGHIRUOM2r1bBOSkdQ_2_5"/>
      <w:bookmarkStart w:id="1517" w:name="Tc_qJbeE-gzRkyGIpx6zy5OCw_2_2"/>
      <w:bookmarkStart w:id="1518" w:name="Tc_E0OvSrPAakykG8r1kcKdlA_2_0"/>
      <w:bookmarkStart w:id="1519" w:name="Tc_tIhFfTPNok2u0IiCbke8RA_1_5"/>
      <w:bookmarkStart w:id="1520" w:name="Tc_1_sonGzsAk6GqmJEUZPTNw_1_2"/>
      <w:bookmarkEnd w:id="1512"/>
      <w:bookmarkEnd w:id="1513"/>
      <w:bookmarkEnd w:id="1514"/>
      <w:bookmarkEnd w:id="1515"/>
      <w:bookmarkEnd w:id="1516"/>
      <w:bookmarkEnd w:id="1517"/>
      <w:bookmarkEnd w:id="1518"/>
      <w:bookmarkEnd w:id="1519"/>
      <w:bookmarkEnd w:id="1520"/>
      <w:r>
        <w:rPr>
          <w:rFonts w:ascii="Times New Roman;Times;serif" w:hAnsi="Times New Roman;Times;serif"/>
          <w:i/>
          <w:sz w:val="20"/>
        </w:rPr>
        <w:t>Senior Secured Term Loan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October 27, 2022 (the “Closing Date”), the Company entered into a credit agreement (the “Blackstone Credit Agreement”) for fundings of up to $950.0 million consisting of a committed loan facility of $450.0 million and further contemplating the potential for up to $500.0 million of additional financing, to the extent that the Company requests such additional financing and subject to the Lenders’ agreement to provide such additional financing and to mutual agreement on terms, among the Company, certain subsidiaries of the Company (together with the Company, the “Loan Parties”) and funds and other affiliated entities advised or managed by Blackstone Life Sciences and Blackstone Credit (collectively, “Blackstone”, and such lenders, together with their permitted assignees, the “Lenders” and each a “Lender”) and Wilmington Trust, National Association, as the administrative agent for the Lenders.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The Blackstone Credit Agreement provides for a senior secured term loan facility funded on the Closing Date in the aggregate principal amount of $300.0</w:t>
      </w:r>
      <w:r>
        <w:rPr>
          <w:rFonts w:ascii="Times New Roman;Times;serif" w:hAnsi="Times New Roman;Times;serif"/>
          <w:sz w:val="24"/>
        </w:rPr>
        <w:t xml:space="preserve"> </w:t>
      </w:r>
      <w:r>
        <w:rPr>
          <w:rFonts w:ascii="Times New Roman;Times;serif" w:hAnsi="Times New Roman;Times;serif"/>
          <w:sz w:val="20"/>
        </w:rPr>
        <w:t>million (the “Initial Loans”) and a committed delayed draw term loan facility of up to $150.0</w:t>
      </w:r>
      <w:r>
        <w:rPr>
          <w:rFonts w:ascii="Times New Roman;Times;serif" w:hAnsi="Times New Roman;Times;serif"/>
          <w:sz w:val="24"/>
        </w:rPr>
        <w:t xml:space="preserve"> </w:t>
      </w:r>
      <w:r>
        <w:rPr>
          <w:rFonts w:ascii="Times New Roman;Times;serif" w:hAnsi="Times New Roman;Times;serif"/>
          <w:sz w:val="20"/>
        </w:rPr>
        <w:t>million (the “Delayed Draw Loans” and, together with the Initial Loans, the “Loans”) to be funded at the Company’s request within 18 months</w:t>
      </w:r>
      <w:r>
        <w:rPr>
          <w:rFonts w:ascii="Times New Roman;Times;serif" w:hAnsi="Times New Roman;Times;serif"/>
          <w:sz w:val="24"/>
        </w:rPr>
        <w:t xml:space="preserve"> </w:t>
      </w:r>
      <w:r>
        <w:rPr>
          <w:rFonts w:ascii="Times New Roman;Times;serif" w:hAnsi="Times New Roman;Times;serif"/>
          <w:sz w:val="20"/>
        </w:rPr>
        <w:t>of the Closing Date subject to specified conditions. In addition, the Blackstone Credit Agreement contemplates the potential for further financings by Blackstone, by providing for incremental discretionary uncommitted further financings of up to $500.0</w:t>
      </w:r>
      <w:r>
        <w:rPr>
          <w:rFonts w:ascii="Times New Roman;Times;serif" w:hAnsi="Times New Roman;Times;serif"/>
          <w:sz w:val="24"/>
        </w:rPr>
        <w:t xml:space="preserve"> </w:t>
      </w:r>
      <w:r>
        <w:rPr>
          <w:rFonts w:ascii="Times New Roman;Times;serif" w:hAnsi="Times New Roman;Times;serif"/>
          <w:sz w:val="20"/>
        </w:rPr>
        <w:t>million. The Company capitalized approximately $11.6</w:t>
      </w:r>
      <w:r>
        <w:rPr>
          <w:rFonts w:ascii="Times New Roman;Times;serif" w:hAnsi="Times New Roman;Times;serif"/>
          <w:sz w:val="24"/>
        </w:rPr>
        <w:t xml:space="preserve"> </w:t>
      </w:r>
      <w:r>
        <w:rPr>
          <w:rFonts w:ascii="Times New Roman;Times;serif" w:hAnsi="Times New Roman;Times;serif"/>
          <w:sz w:val="20"/>
        </w:rPr>
        <w:t>million of debt issuance costs which are presented on the balance sheet as a direct deduction from the debt liability and are being amortized over the term of the senior secured term loan facility using the effective interest rate method.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The Loans mature on the date that is seven years</w:t>
      </w:r>
      <w:r>
        <w:rPr>
          <w:rFonts w:ascii="Times New Roman;Times;serif" w:hAnsi="Times New Roman;Times;serif"/>
          <w:sz w:val="24"/>
        </w:rPr>
        <w:t xml:space="preserve"> </w:t>
      </w:r>
      <w:r>
        <w:rPr>
          <w:rFonts w:ascii="Times New Roman;Times;serif" w:hAnsi="Times New Roman;Times;serif"/>
          <w:sz w:val="20"/>
        </w:rPr>
        <w:t>from the Closing Date. Borrowings under the Blackstone Credit Agreement bear interest at a variable rate equal to, at the Company’s option, either an adjusted Term SOFR rate plus seven and a quarter percent (7.25%)</w:t>
      </w:r>
      <w:r>
        <w:rPr>
          <w:rFonts w:ascii="Times New Roman;Times;serif" w:hAnsi="Times New Roman;Times;serif"/>
          <w:sz w:val="24"/>
        </w:rPr>
        <w:t xml:space="preserve"> </w:t>
      </w:r>
      <w:r>
        <w:rPr>
          <w:rFonts w:ascii="Times New Roman;Times;serif" w:hAnsi="Times New Roman;Times;serif"/>
          <w:sz w:val="20"/>
        </w:rPr>
        <w:t>or the Base Rate plus six and a quarter percent (6.25%), subject to a floor of one percent (1%)</w:t>
      </w:r>
      <w:r>
        <w:rPr>
          <w:rFonts w:ascii="Times New Roman;Times;serif" w:hAnsi="Times New Roman;Times;serif"/>
          <w:sz w:val="24"/>
        </w:rPr>
        <w:t xml:space="preserve"> </w:t>
      </w:r>
      <w:r>
        <w:rPr>
          <w:rFonts w:ascii="Times New Roman;Times;serif" w:hAnsi="Times New Roman;Times;serif"/>
          <w:sz w:val="20"/>
        </w:rPr>
        <w:t>and two percent (2%)</w:t>
      </w:r>
      <w:r>
        <w:rPr>
          <w:rFonts w:ascii="Times New Roman;Times;serif" w:hAnsi="Times New Roman;Times;serif"/>
          <w:sz w:val="24"/>
        </w:rPr>
        <w:t xml:space="preserve"> </w:t>
      </w:r>
      <w:r>
        <w:rPr>
          <w:rFonts w:ascii="Times New Roman;Times;serif" w:hAnsi="Times New Roman;Times;serif"/>
          <w:sz w:val="20"/>
        </w:rPr>
        <w:t>with respect to Term SOFR rate and Base Rate (each as defined in the Blackstone Credit Agreement), respectively. Payment of the Loans are subject to certain premiums specified in the Blackstone Credit Agreement, in each case, from the date the applicable Loan is funded.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obligations under the Blackstone Credit Agreement are secured, subject to certain exceptions and specified inclusions, by security interests in certain assets of the Loan Parties, including (1) intellectual property and other assets related to Translarna, Emflaza, Upstaza, sepiapterin and, until certain release conditions are met, vatiquinone, in each case, together with any other forms, formulations, or methods of delivery of any such products, and regardless of trade or brand name, (2) future acquired intellectual property (but not internally developed intellectual property unrelated to other intellectual property collateral) and other related assets, and (3) the equity interests held by the Loan Parties in certain of their subsidiaries. The Blackstone Credit Agreement contains certain negative covenants with which the Company must remain in compliance. The Blackstone Credit Agreement also requires that the Company maintains consolidated liquidity of at least $100.0 million as of the last day of each fiscal quarter, which shall be increased to $200.0 million upon the Company consummating acquisitions meeting certain consolidated thresholds described therein. In addition, the Company will be required under conditions specified in the Blackstone Credit Agreement to fund a reserve account up to certain amounts specified therein, including $50.0 million that the Company funded into the reserve account during the quarter ended March 31, 2023 and was released back to the Company during the quarter ended June 30, 2023. The funds in the reserve account are available to prepay the Loans at any time at the Company’s option, and are, if funded, subject to release upon certain further conditions. Upon any such release, such funds are freely available for use by the Company subject to the generally applicable terms and conditions of the Blackstone Credit Agreement. The Blackstone Credit Agreement contains certain customary representations and warranties, affirmative covenants and provisions relating to events of default.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Blackstone Credit Agreement consists of the following:</w:t>
      </w:r>
    </w:p>
    <w:p>
      <w:pPr>
        <w:pStyle w:val="TextBody"/>
        <w:bidi w:val="0"/>
        <w:spacing w:before="0" w:after="0"/>
        <w:ind w:left="0" w:right="0" w:hanging="0"/>
        <w:jc w:val="both"/>
        <w:rPr/>
      </w:pPr>
      <w:r>
        <w:rPr/>
        <w:t>​</w:t>
      </w:r>
    </w:p>
    <w:tbl>
      <w:tblPr>
        <w:tblW w:w="5051" w:type="dxa"/>
        <w:jc w:val="left"/>
        <w:tblInd w:w="0" w:type="dxa"/>
        <w:tblLayout w:type="fixed"/>
        <w:tblCellMar>
          <w:top w:w="0" w:type="dxa"/>
          <w:left w:w="0" w:type="dxa"/>
          <w:bottom w:w="0" w:type="dxa"/>
          <w:right w:w="0" w:type="dxa"/>
        </w:tblCellMar>
      </w:tblPr>
      <w:tblGrid>
        <w:gridCol w:w="2161"/>
        <w:gridCol w:w="109"/>
        <w:gridCol w:w="239"/>
        <w:gridCol w:w="887"/>
        <w:gridCol w:w="109"/>
        <w:gridCol w:w="294"/>
        <w:gridCol w:w="1252"/>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72235" cy="175260"/>
                      <wp:effectExtent l="0" t="0" r="0" b="0"/>
                      <wp:wrapNone/>
                      <wp:docPr id="358" name="Frame358"/>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51765" cy="175260"/>
                      <wp:effectExtent l="0" t="0" r="0" b="0"/>
                      <wp:wrapNone/>
                      <wp:docPr id="360" name="Frame36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63245" cy="175260"/>
                      <wp:effectExtent l="0" t="0" r="0" b="0"/>
                      <wp:wrapNone/>
                      <wp:docPr id="361" name="Frame36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86690" cy="175260"/>
                      <wp:effectExtent l="0" t="0" r="0" b="0"/>
                      <wp:wrapNone/>
                      <wp:docPr id="363" name="Frame363"/>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795020" cy="175260"/>
                      <wp:effectExtent l="0" t="0" r="0" b="0"/>
                      <wp:wrapNone/>
                      <wp:docPr id="364" name="Frame364"/>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09"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(10,979)</w:t>
            </w:r>
          </w:p>
        </w:tc>
        <w:tc>
          <w:tcPr>
            <w:tcW w:w="109"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(11,322)</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amount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289,021</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288,678</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As of June 30, 2023, the remaining contractual life of the Blackstone Credit Agreement is approximately 6.3</w:t>
      </w:r>
      <w:r>
        <w:rPr>
          <w:rFonts w:ascii="Times New Roman;Times;serif" w:hAnsi="Times New Roman;Times;serif"/>
          <w:sz w:val="24"/>
        </w:rPr>
        <w:t xml:space="preserve"> </w:t>
      </w:r>
      <w:r>
        <w:rPr>
          <w:rFonts w:ascii="Times New Roman;Times;serif" w:hAnsi="Times New Roman;Times;serif"/>
          <w:sz w:val="20"/>
        </w:rPr>
        <w:t>years.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521" w:name="Tc_BpQQYYZ3PkatPPCdfUI6DQ_7_6"/>
      <w:bookmarkStart w:id="1522" w:name="Tc_3TRYqsu5qUCxJJ2J1C2cVg_7_3"/>
      <w:bookmarkStart w:id="1523" w:name="Tc_y23-XKsS006XMqr8_8lbQA_7_0"/>
      <w:bookmarkStart w:id="1524" w:name="Tc_vq1iybOIrUCE1T-AC_CwXg_6_4"/>
      <w:bookmarkStart w:id="1525" w:name="Tc_r7ZnzY99pUSvGee4NbgbXw_6_1"/>
      <w:bookmarkStart w:id="1526" w:name="Tc_7oqOzmE4-UObSJUUebyenA_6_0"/>
      <w:bookmarkStart w:id="1527" w:name="Tc_n8Lup4D1iEmm8kzwZjzguw_5_0"/>
      <w:bookmarkStart w:id="1528" w:name="Tc_LmEkBPlYzkqPkUtNJXJ--w_4_4"/>
      <w:bookmarkStart w:id="1529" w:name="Tc_4IENpWWOH0O0U47JyRWAjA_4_1"/>
      <w:bookmarkStart w:id="1530" w:name="Tc_WuOTg4UpE02rp_f2b50zNQ_4_0"/>
      <w:bookmarkStart w:id="1531" w:name="Tc_D2kYMQzdRE67rqL8ZUiQ8Q_3_4"/>
      <w:bookmarkStart w:id="1532" w:name="Tc_hLKItdAD-02qn7RUPmsSfQ_3_1"/>
      <w:bookmarkStart w:id="1533" w:name="Tc_h9zHZOKwUE6elyA5dvNAAg_2_4"/>
      <w:bookmarkStart w:id="1534" w:name="Tc_nLommltM3U6s0ttUIa14JQ_2_1"/>
      <w:bookmarkStart w:id="1535" w:name="Tc_N6lTb1btvEKEAVcN_jSk2Q_1_4"/>
      <w:bookmarkStart w:id="1536" w:name="Tc_oZ549fVWqkmFNX0_x4V3MQ_1_1"/>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r>
        <w:rPr>
          <w:rFonts w:ascii="Times New Roman;Times;serif" w:hAnsi="Times New Roman;Times;serif"/>
          <w:sz w:val="20"/>
        </w:rPr>
        <w:t>The following table sets forth total interest expense recognized related to the Blackstone Credit Agreement:</w:t>
      </w:r>
    </w:p>
    <w:p>
      <w:pPr>
        <w:pStyle w:val="TextBody"/>
        <w:bidi w:val="0"/>
        <w:spacing w:before="0" w:after="0"/>
        <w:ind w:left="0" w:right="0" w:hanging="0"/>
        <w:jc w:val="both"/>
        <w:rPr/>
      </w:pPr>
      <w:r>
        <w:rPr/>
        <w:t>​</w:t>
      </w:r>
    </w:p>
    <w:tbl>
      <w:tblPr>
        <w:tblW w:w="6603" w:type="dxa"/>
        <w:jc w:val="left"/>
        <w:tblInd w:w="0" w:type="dxa"/>
        <w:tblLayout w:type="fixed"/>
        <w:tblCellMar>
          <w:top w:w="0" w:type="dxa"/>
          <w:left w:w="0" w:type="dxa"/>
          <w:bottom w:w="0" w:type="dxa"/>
          <w:right w:w="0" w:type="dxa"/>
        </w:tblCellMar>
      </w:tblPr>
      <w:tblGrid>
        <w:gridCol w:w="3001"/>
        <w:gridCol w:w="433"/>
        <w:gridCol w:w="1172"/>
        <w:gridCol w:w="271"/>
        <w:gridCol w:w="335"/>
        <w:gridCol w:w="1075"/>
        <w:gridCol w:w="316"/>
      </w:tblGrid>
      <w:tr>
        <w:trPr/>
        <w:tc>
          <w:tcPr>
            <w:tcW w:w="3001" w:type="dxa"/>
            <w:tcBorders/>
            <w:vAlign w:val="center"/>
          </w:tcPr>
          <w:p>
            <w:pPr>
              <w:pStyle w:val="TableContents"/>
              <w:bidi w:val="0"/>
              <w:spacing w:before="0" w:after="0"/>
              <w:ind w:left="0" w:right="0" w:hanging="0"/>
              <w:jc w:val="left"/>
              <w:rPr/>
            </w:pPr>
            <w:r>
              <w:rPr/>
              <w:t>​</w: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74955" cy="175260"/>
                      <wp:effectExtent l="0" t="0" r="0" b="0"/>
                      <wp:wrapNone/>
                      <wp:docPr id="365" name="Frame365"/>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744220" cy="175260"/>
                      <wp:effectExtent l="0" t="0" r="0" b="0"/>
                      <wp:wrapNone/>
                      <wp:docPr id="366" name="Frame366"/>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72085" cy="175260"/>
                      <wp:effectExtent l="0" t="0" r="0" b="0"/>
                      <wp:wrapNone/>
                      <wp:docPr id="367" name="Frame36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2725" cy="175260"/>
                      <wp:effectExtent l="0" t="0" r="0" b="0"/>
                      <wp:wrapNone/>
                      <wp:docPr id="368" name="Frame36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82625" cy="175260"/>
                      <wp:effectExtent l="0" t="0" r="0" b="0"/>
                      <wp:wrapNone/>
                      <wp:docPr id="369" name="Frame369"/>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0660" cy="175260"/>
                      <wp:effectExtent l="0" t="0" r="0" b="0"/>
                      <wp:wrapNone/>
                      <wp:docPr id="370" name="Frame3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71" w:type="dxa"/>
            <w:tcBorders/>
            <w:vAlign w:val="center"/>
          </w:tcPr>
          <w:p>
            <w:pPr>
              <w:pStyle w:val="TableContents"/>
              <w:bidi w:val="0"/>
              <w:spacing w:before="0" w:after="0"/>
              <w:ind w:left="0" w:right="0" w:hanging="0"/>
              <w:jc w:val="left"/>
              <w:rPr/>
            </w:pPr>
            <w:r>
              <w:rPr/>
              <w:t>​</w:t>
            </w:r>
          </w:p>
        </w:tc>
        <w:tc>
          <w:tcPr>
            <w:tcW w:w="14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271" w:type="dxa"/>
            <w:tcBorders/>
            <w:vAlign w:val="center"/>
          </w:tcPr>
          <w:p>
            <w:pPr>
              <w:pStyle w:val="TableContents"/>
              <w:bidi w:val="0"/>
              <w:spacing w:before="0" w:after="0"/>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vAlign w:val="center"/>
          </w:tcPr>
          <w:p>
            <w:pPr>
              <w:pStyle w:val="TableContents"/>
              <w:bidi w:val="0"/>
              <w:spacing w:before="0" w:after="0"/>
              <w:ind w:left="0" w:right="0" w:hanging="0"/>
              <w:jc w:val="center"/>
              <w:rPr/>
            </w:pPr>
            <w:r>
              <w:rPr/>
              <w:t>​</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 expense</w:t>
            </w:r>
          </w:p>
        </w:tc>
        <w:tc>
          <w:tcPr>
            <w:tcW w:w="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9,354</w:t>
            </w:r>
          </w:p>
        </w:tc>
        <w:tc>
          <w:tcPr>
            <w:tcW w:w="271"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271"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9,626</w:t>
            </w:r>
          </w:p>
        </w:tc>
        <w:tc>
          <w:tcPr>
            <w:tcW w:w="271"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43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2026 Convertible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2019, the Company issued, at par value, $287.5 million aggregate principal amount of 1.50% convertible senior notes due 2026, which included an option to purchase up to an additional $37.5 million in aggregate principal amount of the 2026 Convertible Notes, which was exercised in full by the initial purchasers. The 2026 Convertible Notes bear cash interest at a rate of 1.50% per year, payable semi-annually on March 15 and September 15 of each year, beginning on March 15, 2020. The 2026 Convertible Notes will mature on September 15, 2026, unless earlier repurchased or converted. The net proceeds to the Company from the offering were $279.3 million after deducting the initial purchasers’ discounts and commissions and the offering expenses payable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Convertible Notes are governed by an indenture (the "2026 Convertible Notes Indenture") with U.S Bank National Association as trustee (the "2026 Convertible Notes Trustee").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Holders of the 2026 Convertible Notes may convert their 2026 Convertible Notes at their option at any time prior to the close of business on the business day immediately preceding March 15, 2026 only under the following circumstances: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any calendar quarter commencing on or after December 31, 2019 (and only during such calendar quarter), if the last reported sale price of the Company’s common stock for at least 20</w:t>
            </w:r>
            <w:r>
              <w:rPr>
                <w:caps w:val="false"/>
                <w:smallCaps w:val="false"/>
              </w:rPr>
              <w:t> </w:t>
            </w:r>
            <w:r>
              <w:rPr>
                <w:rFonts w:ascii="Times New Roman;Times;serif" w:hAnsi="Times New Roman;Times;serif"/>
                <w:b w:val="false"/>
                <w:i w:val="false"/>
                <w:caps w:val="false"/>
                <w:smallCaps w:val="false"/>
                <w:sz w:val="20"/>
              </w:rPr>
              <w:t>trading days (whether or not consecutive) during a period of 30</w:t>
            </w:r>
            <w:r>
              <w:rPr>
                <w:caps w:val="false"/>
                <w:smallCaps w:val="false"/>
              </w:rPr>
              <w:t> </w:t>
            </w:r>
            <w:r>
              <w:rPr>
                <w:rFonts w:ascii="Times New Roman;Times;serif" w:hAnsi="Times New Roman;Times;serif"/>
                <w:b w:val="false"/>
                <w:i w:val="false"/>
                <w:caps w:val="false"/>
                <w:smallCaps w:val="false"/>
                <w:sz w:val="20"/>
              </w:rPr>
              <w:t>consecutive trading days ending on the last trading day of the immediately preceding calendar quarter is greater than or equal to 130%</w:t>
            </w:r>
            <w:r>
              <w:rPr>
                <w:caps w:val="false"/>
                <w:smallCaps w:val="false"/>
              </w:rPr>
              <w:t> </w:t>
            </w:r>
            <w:r>
              <w:rPr>
                <w:rFonts w:ascii="Times New Roman;Times;serif" w:hAnsi="Times New Roman;Times;serif"/>
                <w:b w:val="false"/>
                <w:i w:val="false"/>
                <w:caps w:val="false"/>
                <w:smallCaps w:val="false"/>
                <w:sz w:val="20"/>
              </w:rPr>
              <w:t>of the conversion price on each applicable trading day;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five</w:t>
            </w:r>
            <w:r>
              <w:rPr>
                <w:caps w:val="false"/>
                <w:smallCaps w:val="false"/>
              </w:rPr>
              <w:t> </w:t>
            </w:r>
            <w:r>
              <w:rPr>
                <w:rFonts w:ascii="Times New Roman;Times;serif" w:hAnsi="Times New Roman;Times;serif"/>
                <w:b w:val="false"/>
                <w:i w:val="false"/>
                <w:caps w:val="false"/>
                <w:smallCaps w:val="false"/>
                <w:sz w:val="20"/>
              </w:rPr>
              <w:t>business day period after any five</w:t>
            </w:r>
            <w:r>
              <w:rPr>
                <w:caps w:val="false"/>
                <w:smallCaps w:val="false"/>
              </w:rPr>
              <w:t> </w:t>
            </w:r>
            <w:r>
              <w:rPr>
                <w:rFonts w:ascii="Times New Roman;Times;serif" w:hAnsi="Times New Roman;Times;serif"/>
                <w:b w:val="false"/>
                <w:i w:val="false"/>
                <w:caps w:val="false"/>
                <w:smallCaps w:val="false"/>
                <w:sz w:val="20"/>
              </w:rPr>
              <w:t>consecutive trading day period (the “measurement period”) in which the trading price (as defined in the 2026 Convertible Notes Indenture) per $1,000 principal amount of 2026 Convertible Notes for each trading day of the measurement period was less than 98%</w:t>
            </w:r>
            <w:r>
              <w:rPr>
                <w:caps w:val="false"/>
                <w:smallCaps w:val="false"/>
              </w:rPr>
              <w:t> </w:t>
            </w:r>
            <w:r>
              <w:rPr>
                <w:rFonts w:ascii="Times New Roman;Times;serif" w:hAnsi="Times New Roman;Times;serif"/>
                <w:b w:val="false"/>
                <w:i w:val="false"/>
                <w:caps w:val="false"/>
                <w:smallCaps w:val="false"/>
                <w:sz w:val="20"/>
              </w:rPr>
              <w:t>of the product of the last reported sale price of the Company’s common stock and the conversion rate on each such trading day;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any period after the Company has issued notice of redemption until the close of business on the scheduled trading day immediately preceding the relevant redemption date; or</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specified corporate events.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or after March 15, 2026, until the close of business on the business day immediately preceding the maturity date, holders may convert their 2026 Convertible Notes at any time, regardless of the foregoing circumstances. Upon conversion, the Company will pay or deliver, as the case may be, cash, shares of the Company’s common stock or any combination thereof at the Company’s election.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conversion rate for the 2026 Convertible Notes was initially, and remains, 19.0404 shares of the Company’s common stock per $1,000 principal amount of the 2026 Convertible Notes, which is equivalent to an initial conversion price of approximately $52.52 per share of the Company’s common stock. The conversion rate may be subject to adjustment in some events but will not be adjusted for any accrued and unpaid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537" w:name="_Hlk101799318"/>
      <w:bookmarkStart w:id="1538" w:name="Tc_sfssrmyp90KE6wWTRENsBQ_7_13"/>
      <w:bookmarkStart w:id="1539" w:name="Tc__lfAsLxudkO9gkj-3Q1XLw_7_10"/>
      <w:bookmarkStart w:id="1540" w:name="Tc_4dNtNJI68ESEoqyQGPDu0w_7_7"/>
      <w:bookmarkStart w:id="1541" w:name="Tc_gEaUVfuxIkKvtkaYgnRaiA_7_4"/>
      <w:bookmarkStart w:id="1542" w:name="Tc_70GGzXmoKU-fV7xH0u7AnQ_7_0"/>
      <w:bookmarkStart w:id="1543" w:name="Tc_dY8BFtRIaUWTL5cEyuNocg_6_11"/>
      <w:bookmarkStart w:id="1544" w:name="Tc_iuqeak8r1keMw036pAxowg_6_8"/>
      <w:bookmarkStart w:id="1545" w:name="Tc_TZ_5QRJERUqxqwr3Dx9hgQ_6_5"/>
      <w:bookmarkStart w:id="1546" w:name="Tc_LWc6HCewyEWu_IpWAhMtvg_6_2"/>
      <w:bookmarkStart w:id="1547" w:name="Tc_5912pR4LzESpJRYhfYx3Lw_6_0"/>
      <w:bookmarkStart w:id="1548" w:name="Tc_yPBM0VSBvEGuBtzQRBc3PQ_5_0"/>
      <w:bookmarkStart w:id="1549" w:name="Tc_LG7tPSs9E0a6QQ_Rt__mZg_4_11"/>
      <w:bookmarkStart w:id="1550" w:name="Tc_TtdC_dT2-0OSRudkxSTnhg_4_8"/>
      <w:bookmarkStart w:id="1551" w:name="Tc_xw7OEms8OUaECZ6cRAeqBw_4_5"/>
      <w:bookmarkStart w:id="1552" w:name="Tc_vZpJJs_Y0U69j7wN12Cz5w_4_2"/>
      <w:bookmarkStart w:id="1553" w:name="Tc_qvCy41EVDkeKSxpgi1VcQA_4_0"/>
      <w:bookmarkStart w:id="1554" w:name="Tc_RznTOezVNkKChkTGxMcAtg_3_11"/>
      <w:bookmarkStart w:id="1555" w:name="Tc_WIOCsVJp60yTDzK4wczM0A_3_8"/>
      <w:bookmarkStart w:id="1556" w:name="Tc_YMXnIkpm8USiNkpPyT4x7g_3_5"/>
      <w:bookmarkStart w:id="1557" w:name="Tc_1Xo7NhsDvkWcAGdRlKpdRw_3_2"/>
      <w:bookmarkStart w:id="1558" w:name="Tc_AMyRMlNPskqK1IQeLAsn5g_2_8"/>
      <w:bookmarkStart w:id="1559" w:name="Tc_ZbxIdxPcFkiC9xJ5HXFn0A_2_2"/>
      <w:bookmarkStart w:id="1560" w:name="Tc_J55A08f2ikqZLmnw3hee3A_5_5"/>
      <w:bookmarkStart w:id="1561" w:name="Tc_Mx7Mgo17X0y6Q2Lk4T2_7A_5_2"/>
      <w:bookmarkStart w:id="1562" w:name="Tc_7rYujC5MJkeaGPXqVytq3Q_5_0"/>
      <w:bookmarkStart w:id="1563" w:name="Tc_1gq3mhzP7UWw2MSJ40k8AA_4_0"/>
      <w:bookmarkStart w:id="1564" w:name="Tc_5MVem4KlI0u4OWACPFs3xQ_3_5"/>
      <w:bookmarkStart w:id="1565" w:name="Tc_7NDkHVyu2EypZWt1TyZhBA_3_2"/>
      <w:bookmarkStart w:id="1566" w:name="Tc_BsDcu-MNzUu_5xt_0E2-5A_3_0"/>
      <w:bookmarkStart w:id="1567" w:name="Tc_beF3GWTm20ixFwLTPXfxcg_2_5"/>
      <w:bookmarkStart w:id="1568" w:name="Tc_ayS6eHlHo0mZViD8YeU2Jg_2_2"/>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r>
        <w:rPr>
          <w:rFonts w:ascii="Times New Roman;Times;serif" w:hAnsi="Times New Roman;Times;serif"/>
          <w:sz w:val="20"/>
        </w:rPr>
        <w:t>The Company is not permitted to redeem the 2026 Convertible Notes prior to September 20, 2023. The Company may redeem for cash all or any portion of the 2026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2026 Convertible Notes to be redeemed, plus accrued and unpaid interest to, but excluding, the redemption date. No sinking fund is provided for the 2026 Convertible Notes, which means that the Company is not required to redeem or retire the 2026 Convertible Notes periodically.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undergoes a “fundamental change” (as defined in the 2026 Convertible Notes Indenture), subject to certain conditions, holders of the 2026 Convertible Notes may require the Company to repurchase for cash all or part of their 2026 Convertible Notes at a repurchase price equal to 100% of the principal amount of the 2026 Convertible Notes to be repurchased, plus accrued and unpaid interest to, but excluding, the fundamental change repurchase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Convertible Notes represent senior unsecured obligations and will rank senior in right of payment to the Company’s future indebtedness that is expressly subordinated in right of payment to the notes, equal in right of payment to the Company’s existing and future unsecured indebtedness that is not so subordinated,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2026 Convertible Notes Indenture contains customary events of default with respect to the 2026 Convertible Notes, including that upon certain events of default (including the Company’s failure to make any payment of principal or interest on the 2026 Convertible Notes when due and payable) occurring and continuing, the 2026 Convertible Notes Trustee by notice to the Company, or the holders of at least 25% in principal amount of the outstanding 2026 Convertible Notes by notice to the Company and the Convertible Notes Trustee, may, and the 2026 Convertible Notes Trustee at the request of such holders (subject to the provisions of the 2026 Convertible Notes Indenture) shall, declare 100% of the principal of and accrued and unpaid interest, if any, on all the 2026 Convertible Notes to be due and payable. In case of certain events of bankruptcy, insolvency or reorganization, involving the Company or a significant subsidiary, 100% of the principal of and accrued and unpaid interest on the 2026 Convertible Notes will automatically become due and payable. Upon such a declaration of acceleration, such principal and accrued and unpaid interest, if any, will be due and payable immediately.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2026 Convertible Notes consist of the following:</w:t>
      </w:r>
    </w:p>
    <w:p>
      <w:pPr>
        <w:pStyle w:val="TextBody"/>
        <w:bidi w:val="0"/>
        <w:spacing w:before="0" w:after="240"/>
        <w:ind w:left="0" w:right="0" w:hanging="0"/>
        <w:jc w:val="both"/>
        <w:rPr/>
      </w:pPr>
      <w:r>
        <w:rPr/>
        <w:t>​</w:t>
      </w:r>
    </w:p>
    <w:tbl>
      <w:tblPr>
        <w:tblW w:w="5377" w:type="dxa"/>
        <w:jc w:val="left"/>
        <w:tblInd w:w="0" w:type="dxa"/>
        <w:tblLayout w:type="fixed"/>
        <w:tblCellMar>
          <w:top w:w="0" w:type="dxa"/>
          <w:left w:w="0" w:type="dxa"/>
          <w:bottom w:w="0" w:type="dxa"/>
          <w:right w:w="0" w:type="dxa"/>
        </w:tblCellMar>
      </w:tblPr>
      <w:tblGrid>
        <w:gridCol w:w="2161"/>
        <w:gridCol w:w="326"/>
        <w:gridCol w:w="239"/>
        <w:gridCol w:w="887"/>
        <w:gridCol w:w="109"/>
        <w:gridCol w:w="319"/>
        <w:gridCol w:w="1182"/>
        <w:gridCol w:w="154"/>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372235" cy="175260"/>
                      <wp:effectExtent l="0" t="0" r="0" b="0"/>
                      <wp:wrapNone/>
                      <wp:docPr id="371" name="Frame371"/>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51765" cy="175260"/>
                      <wp:effectExtent l="0" t="0" r="0" b="0"/>
                      <wp:wrapNone/>
                      <wp:docPr id="373" name="Frame37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63245" cy="175260"/>
                      <wp:effectExtent l="0" t="0" r="0" b="0"/>
                      <wp:wrapNone/>
                      <wp:docPr id="374" name="Frame37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5" name="Frame3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2565" cy="175260"/>
                      <wp:effectExtent l="0" t="0" r="0" b="0"/>
                      <wp:wrapNone/>
                      <wp:docPr id="376" name="Frame37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50570" cy="175260"/>
                      <wp:effectExtent l="0" t="0" r="0" b="0"/>
                      <wp:wrapNone/>
                      <wp:docPr id="377" name="Frame377"/>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97790" cy="175260"/>
                      <wp:effectExtent l="0" t="0" r="0" b="0"/>
                      <wp:wrapNone/>
                      <wp:docPr id="378" name="Frame37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9" w:type="dxa"/>
            <w:tcBorders/>
            <w:vAlign w:val="center"/>
          </w:tcPr>
          <w:p>
            <w:pPr>
              <w:pStyle w:val="TableContents"/>
              <w:bidi w:val="0"/>
              <w:spacing w:before="0" w:after="1"/>
              <w:ind w:left="0" w:right="0" w:hanging="0"/>
              <w:jc w:val="center"/>
              <w:rPr/>
            </w:pPr>
            <w:r>
              <w:rPr/>
              <w:t>​</w:t>
            </w:r>
          </w:p>
        </w:tc>
        <w:tc>
          <w:tcPr>
            <w:tcW w:w="88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center"/>
              <w:rPr/>
            </w:pPr>
            <w:r>
              <w:rPr/>
              <w:t>​</w:t>
            </w:r>
          </w:p>
        </w:tc>
        <w:tc>
          <w:tcPr>
            <w:tcW w:w="1182"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09" w:type="dxa"/>
            <w:tcBorders/>
            <w:vAlign w:val="center"/>
          </w:tcPr>
          <w:p>
            <w:pPr>
              <w:pStyle w:val="TableContents"/>
              <w:bidi w:val="0"/>
              <w:spacing w:before="0" w:after="1"/>
              <w:ind w:left="0" w:right="0" w:hanging="0"/>
              <w:jc w:val="center"/>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54" w:type="dxa"/>
            <w:tcBorders/>
            <w:vAlign w:val="center"/>
          </w:tcPr>
          <w:p>
            <w:pPr>
              <w:pStyle w:val="TableContents"/>
              <w:bidi w:val="0"/>
              <w:spacing w:before="0" w:after="1"/>
              <w:ind w:left="0" w:right="0" w:hanging="0"/>
              <w:jc w:val="center"/>
              <w:rPr/>
            </w:pPr>
            <w:r>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287,500</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287,500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(3,878)</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(4,456)</w:t>
            </w:r>
          </w:p>
        </w:tc>
        <w:tc>
          <w:tcPr>
            <w:tcW w:w="154" w:type="dxa"/>
            <w:tcBorders/>
            <w:vAlign w:val="center"/>
          </w:tcPr>
          <w:p>
            <w:pPr>
              <w:pStyle w:val="TableContents"/>
              <w:bidi w:val="0"/>
              <w:spacing w:before="0" w:after="1"/>
              <w:ind w:left="0" w:right="0" w:hanging="0"/>
              <w:jc w:val="left"/>
              <w:rPr/>
            </w:pPr>
            <w:r>
              <w:rPr/>
              <w:t>​</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carrying amount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283,622</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283,044</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2023, the remaining contractual life of the 2026 Convertible Notes is approximately 3.2 years.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total interest expense recognized related to the 2026 Convertible Notes:</w:t>
      </w:r>
    </w:p>
    <w:p>
      <w:pPr>
        <w:pStyle w:val="TextBody"/>
        <w:bidi w:val="0"/>
        <w:spacing w:before="0" w:after="240"/>
        <w:ind w:left="0" w:right="0" w:hanging="0"/>
        <w:jc w:val="both"/>
        <w:rPr/>
      </w:pPr>
      <w:r>
        <w:rPr/>
        <w:t>​</w:t>
      </w:r>
    </w:p>
    <w:tbl>
      <w:tblPr>
        <w:tblW w:w="8392" w:type="dxa"/>
        <w:jc w:val="left"/>
        <w:tblInd w:w="0" w:type="dxa"/>
        <w:tblLayout w:type="fixed"/>
        <w:tblCellMar>
          <w:top w:w="0" w:type="dxa"/>
          <w:left w:w="0" w:type="dxa"/>
          <w:bottom w:w="0" w:type="dxa"/>
          <w:right w:w="0" w:type="dxa"/>
        </w:tblCellMar>
      </w:tblPr>
      <w:tblGrid>
        <w:gridCol w:w="3001"/>
        <w:gridCol w:w="326"/>
        <w:gridCol w:w="265"/>
        <w:gridCol w:w="719"/>
        <w:gridCol w:w="341"/>
        <w:gridCol w:w="265"/>
        <w:gridCol w:w="719"/>
        <w:gridCol w:w="326"/>
        <w:gridCol w:w="243"/>
        <w:gridCol w:w="658"/>
        <w:gridCol w:w="312"/>
        <w:gridCol w:w="243"/>
        <w:gridCol w:w="658"/>
        <w:gridCol w:w="31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905635" cy="175260"/>
                      <wp:effectExtent l="0" t="0" r="0" b="0"/>
                      <wp:wrapNone/>
                      <wp:docPr id="379" name="Frame379"/>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68275" cy="175260"/>
                      <wp:effectExtent l="0" t="0" r="0" b="0"/>
                      <wp:wrapNone/>
                      <wp:docPr id="381" name="Frame38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56565" cy="175260"/>
                      <wp:effectExtent l="0" t="0" r="0" b="0"/>
                      <wp:wrapNone/>
                      <wp:docPr id="382" name="Frame38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6535" cy="175260"/>
                      <wp:effectExtent l="0" t="0" r="0" b="0"/>
                      <wp:wrapNone/>
                      <wp:docPr id="383" name="Frame383"/>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68275" cy="175260"/>
                      <wp:effectExtent l="0" t="0" r="0" b="0"/>
                      <wp:wrapNone/>
                      <wp:docPr id="384" name="Frame384"/>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56565" cy="175260"/>
                      <wp:effectExtent l="0" t="0" r="0" b="0"/>
                      <wp:wrapNone/>
                      <wp:docPr id="385" name="Frame385"/>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54305" cy="175260"/>
                      <wp:effectExtent l="0" t="0" r="0" b="0"/>
                      <wp:wrapNone/>
                      <wp:docPr id="387" name="Frame38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17830" cy="175260"/>
                      <wp:effectExtent l="0" t="0" r="0" b="0"/>
                      <wp:wrapNone/>
                      <wp:docPr id="388" name="Frame388"/>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98120" cy="175260"/>
                      <wp:effectExtent l="0" t="0" r="0" b="0"/>
                      <wp:wrapNone/>
                      <wp:docPr id="389" name="Frame389"/>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54305" cy="175260"/>
                      <wp:effectExtent l="0" t="0" r="0" b="0"/>
                      <wp:wrapNone/>
                      <wp:docPr id="390" name="Frame39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17830" cy="175260"/>
                      <wp:effectExtent l="0" t="0" r="0" b="0"/>
                      <wp:wrapNone/>
                      <wp:docPr id="391" name="Frame391"/>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0660" cy="175260"/>
                      <wp:effectExtent l="0" t="0" r="0" b="0"/>
                      <wp:wrapNone/>
                      <wp:docPr id="392" name="Frame39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5"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center"/>
              <w:rPr/>
            </w:pPr>
            <w:r>
              <w:rPr/>
              <w:t>​</w:t>
            </w:r>
          </w:p>
        </w:tc>
        <w:tc>
          <w:tcPr>
            <w:tcW w:w="265" w:type="dxa"/>
            <w:tcBorders/>
            <w:vAlign w:val="center"/>
          </w:tcPr>
          <w:p>
            <w:pPr>
              <w:pStyle w:val="TableContents"/>
              <w:bidi w:val="0"/>
              <w:spacing w:before="0" w:after="0"/>
              <w:ind w:left="0" w:right="0" w:hanging="0"/>
              <w:jc w:val="center"/>
              <w:rPr/>
            </w:pPr>
            <w:r>
              <w:rPr/>
              <w:t>​</w:t>
            </w:r>
          </w:p>
        </w:tc>
        <w:tc>
          <w:tcPr>
            <w:tcW w:w="7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3" w:type="dxa"/>
            <w:tcBorders/>
            <w:vAlign w:val="center"/>
          </w:tcPr>
          <w:p>
            <w:pPr>
              <w:pStyle w:val="TableContents"/>
              <w:bidi w:val="0"/>
              <w:spacing w:before="0" w:after="0"/>
              <w:ind w:left="0" w:right="0" w:hanging="0"/>
              <w:jc w:val="center"/>
              <w:rPr/>
            </w:pPr>
            <w:r>
              <w:rPr/>
              <w:t>​</w:t>
            </w:r>
          </w:p>
        </w:tc>
        <w:tc>
          <w:tcPr>
            <w:tcW w:w="658"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1" w:type="dxa"/>
            <w:tcBorders/>
            <w:vAlign w:val="center"/>
          </w:tcPr>
          <w:p>
            <w:pPr>
              <w:pStyle w:val="TableContents"/>
              <w:bidi w:val="0"/>
              <w:spacing w:before="0" w:after="0"/>
              <w:ind w:left="0" w:right="0" w:hanging="0"/>
              <w:jc w:val="center"/>
              <w:rPr/>
            </w:pPr>
            <w:r>
              <w:rPr/>
              <w:t>​</w:t>
            </w:r>
          </w:p>
        </w:tc>
        <w:tc>
          <w:tcPr>
            <w:tcW w:w="9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2" w:type="dxa"/>
            <w:tcBorders/>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341"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w:t>
            </w:r>
          </w:p>
        </w:tc>
        <w:tc>
          <w:tcPr>
            <w:tcW w:w="326" w:type="dxa"/>
            <w:tcBorders/>
            <w:shd w:fill="CCEEFF" w:val="clear"/>
            <w:vAlign w:val="center"/>
          </w:tcPr>
          <w:p>
            <w:pPr>
              <w:pStyle w:val="TableContents"/>
              <w:bidi w:val="0"/>
              <w:spacing w:before="0" w:after="0"/>
              <w:ind w:left="0" w:right="0" w:hanging="0"/>
              <w:jc w:val="right"/>
              <w:rPr/>
            </w:pPr>
            <w:r>
              <w:rPr/>
              <w:t>​</w:t>
            </w:r>
          </w:p>
        </w:tc>
        <w:tc>
          <w:tcPr>
            <w:tcW w:w="2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312" w:type="dxa"/>
            <w:tcBorders/>
            <w:shd w:fill="CCEEFF" w:val="clear"/>
            <w:vAlign w:val="center"/>
          </w:tcPr>
          <w:p>
            <w:pPr>
              <w:pStyle w:val="TableContents"/>
              <w:bidi w:val="0"/>
              <w:spacing w:before="0" w:after="0"/>
              <w:ind w:left="0" w:right="0" w:hanging="0"/>
              <w:jc w:val="right"/>
              <w:rPr/>
            </w:pPr>
            <w:r>
              <w:rPr/>
              <w:t>​</w:t>
            </w:r>
          </w:p>
        </w:tc>
        <w:tc>
          <w:tcPr>
            <w:tcW w:w="2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1" w:type="dxa"/>
            <w:tcBorders/>
            <w:vAlign w:val="center"/>
          </w:tcPr>
          <w:p>
            <w:pPr>
              <w:pStyle w:val="TableContents"/>
              <w:bidi w:val="0"/>
              <w:spacing w:before="0" w:after="0"/>
              <w:ind w:left="0" w:right="0" w:hanging="0"/>
              <w:jc w:val="righ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vAlign w:val="center"/>
          </w:tcPr>
          <w:p>
            <w:pPr>
              <w:pStyle w:val="TableContents"/>
              <w:bidi w:val="0"/>
              <w:spacing w:before="0" w:after="0"/>
              <w:ind w:left="0" w:right="0" w:hanging="0"/>
              <w:jc w:val="righ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c>
          <w:tcPr>
            <w:tcW w:w="312" w:type="dxa"/>
            <w:tcBorders/>
            <w:vAlign w:val="center"/>
          </w:tcPr>
          <w:p>
            <w:pPr>
              <w:pStyle w:val="TableContents"/>
              <w:bidi w:val="0"/>
              <w:spacing w:before="0" w:after="0"/>
              <w:ind w:left="0" w:right="0" w:hanging="0"/>
              <w:jc w:val="righ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341" w:type="dxa"/>
            <w:tcBorders/>
            <w:shd w:fill="CCEEFF" w:val="clear"/>
            <w:vAlign w:val="center"/>
          </w:tcPr>
          <w:p>
            <w:pPr>
              <w:pStyle w:val="TableContents"/>
              <w:bidi w:val="0"/>
              <w:spacing w:before="0" w:after="0"/>
              <w:ind w:left="0" w:right="0" w:hanging="0"/>
              <w:jc w:val="righ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326" w:type="dxa"/>
            <w:tcBorders/>
            <w:shd w:fill="CCEEFF" w:val="clear"/>
            <w:vAlign w:val="center"/>
          </w:tcPr>
          <w:p>
            <w:pPr>
              <w:pStyle w:val="TableContents"/>
              <w:bidi w:val="0"/>
              <w:spacing w:before="0" w:after="0"/>
              <w:ind w:left="0" w:right="0" w:hanging="0"/>
              <w:jc w:val="righ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w:t>
            </w:r>
          </w:p>
        </w:tc>
        <w:tc>
          <w:tcPr>
            <w:tcW w:w="312" w:type="dxa"/>
            <w:tcBorders/>
            <w:shd w:fill="CCEEFF" w:val="clear"/>
            <w:vAlign w:val="center"/>
          </w:tcPr>
          <w:p>
            <w:pPr>
              <w:pStyle w:val="TableContents"/>
              <w:bidi w:val="0"/>
              <w:spacing w:before="0" w:after="0"/>
              <w:ind w:left="0" w:right="0" w:hanging="0"/>
              <w:jc w:val="righ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2022, under the terms of the 2026 Convertible Notes Indenture, the Company paid additional interest on the 2026 Convertible Notes at a rate equal to 0.5% per annum, for a total interest payment of approximately $2.1 million, for the period beginning September 25, 2020 and ending March 14, 2022. This amount is not included in the table above, but was recorded as interest expense, net within the statement of operations for the three and six months ended June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569" w:name="Tc_Nb56llPJ_Ei115a_m7dvjQ_7_13"/>
      <w:bookmarkStart w:id="1570" w:name="Tc_dy8Y0Z7HmEm4SOwP1HsuHw_7_10"/>
      <w:bookmarkStart w:id="1571" w:name="Tc_xc4r_DJ3uEajXy-2ofeGZA_7_9"/>
      <w:bookmarkStart w:id="1572" w:name="Tc_TCTj-27omEeVnCjbPQ7IAw_7_7"/>
      <w:bookmarkStart w:id="1573" w:name="Tc_vvuusOlrrEavpN5I3oURGQ_7_4"/>
      <w:bookmarkStart w:id="1574" w:name="Tc_K-2w63X1UUSOA79BNYtvpQ_7_3"/>
      <w:bookmarkStart w:id="1575" w:name="Tc__0ZRGYDyXkmXi0o88QHYBg_7_0"/>
      <w:bookmarkStart w:id="1576" w:name="Tc_TvE_oZ4Nzka7MwTparfIzA_6_11"/>
      <w:bookmarkStart w:id="1577" w:name="Tc_txFGLNjC-E2CA2nYd2aAvA_6_9"/>
      <w:bookmarkStart w:id="1578" w:name="Tc_ujcx9fdCQEuhH6RvsYCWRA_6_8"/>
      <w:bookmarkStart w:id="1579" w:name="Tc_I5_xg4BKJUaXHmpkinpDAQ_6_5"/>
      <w:bookmarkStart w:id="1580" w:name="Tc_yppEYSaV7kSgC16b9J2Xrg_6_3"/>
      <w:bookmarkStart w:id="1581" w:name="Tc_ne2CdZ87kkezNfu3yad02w_6_2"/>
      <w:bookmarkStart w:id="1582" w:name="Tc_h1WvZr91xEuDeVnwAWcntQ_6_0"/>
      <w:bookmarkStart w:id="1583" w:name="Tc_-LbUhkS_KUCJcmBAOUlvMg_5_9"/>
      <w:bookmarkStart w:id="1584" w:name="Tc_0C_nhTHRykWN7pnnqnlAPg_5_3"/>
      <w:bookmarkStart w:id="1585" w:name="Tc_x93oNbDa7ECP5_bR1GwMeQ_5_0"/>
      <w:bookmarkStart w:id="1586" w:name="Tc_6z7roXmEgUKjTaraJQmspA_4_11"/>
      <w:bookmarkStart w:id="1587" w:name="Tc_68JwB1qx0E-LwFbPxEtvUA_4_9"/>
      <w:bookmarkStart w:id="1588" w:name="Tc_ahvDi6tTk0u0s1xHMlDHcQ_4_8"/>
      <w:bookmarkStart w:id="1589" w:name="Tc_1NHUklKkeECHDkAtuoIbIg_4_5"/>
      <w:bookmarkStart w:id="1590" w:name="Tc_0h4Vjnd6okKQqxFAuKoblw_4_3"/>
      <w:bookmarkStart w:id="1591" w:name="Tc_B96avbaioEuTZoFP-jqtvg_4_2"/>
      <w:bookmarkStart w:id="1592" w:name="Tc_GxLptdBdU0qMMGGES_oGPQ_4_0"/>
      <w:bookmarkStart w:id="1593" w:name="Tc_gPyB2QcXb06Dnh1EOxxUXg_3_11"/>
      <w:bookmarkStart w:id="1594" w:name="Tc_UeDwgNLou0WzvcY4XcWl2Q_3_8"/>
      <w:bookmarkStart w:id="1595" w:name="Tc__dIoz4TW5UeLCU9YjKjmlA_3_5"/>
      <w:bookmarkStart w:id="1596" w:name="Tc_nq38WdNxWk2vkD9_Z6Au6g_3_2"/>
      <w:bookmarkStart w:id="1597" w:name="Tc_0Mxp28spt0W8oARL6jQHLA_2_8"/>
      <w:bookmarkStart w:id="1598" w:name="Tc_QcdKVL-aVUyOOkd4OrMTWg_2_2"/>
      <w:bookmarkStart w:id="1599" w:name="_242b79ef_17e1_425e_9644_f010379357a3"/>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r>
        <w:rPr>
          <w:rFonts w:ascii="Times New Roman;Times;serif" w:hAnsi="Times New Roman;Times;serif"/>
          <w:i/>
          <w:sz w:val="20"/>
        </w:rPr>
        <w:t>2022 Convertible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2015, the Company issued, at par value, $150.0 million aggregate principal amount of 3.00% convertible senior notes due 2022, (the “2022 Convertible Notes”). On August 15, 2022, the Company repaid the outstanding principal amount and accrued interest, totaling $152.3 million, of the 2022 Convertible Notes that was due upon maturity in accordance with the terms of the notes.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total interest expense recognized related to the 2022 Convertible Notes:</w:t>
      </w:r>
    </w:p>
    <w:p>
      <w:pPr>
        <w:pStyle w:val="TextBody"/>
        <w:bidi w:val="0"/>
        <w:spacing w:before="0" w:after="240"/>
        <w:ind w:left="0" w:right="0" w:hanging="0"/>
        <w:jc w:val="both"/>
        <w:rPr/>
      </w:pPr>
      <w:r>
        <w:rPr/>
        <w:t>​</w:t>
      </w:r>
    </w:p>
    <w:tbl>
      <w:tblPr>
        <w:tblW w:w="8499" w:type="dxa"/>
        <w:jc w:val="left"/>
        <w:tblInd w:w="0" w:type="dxa"/>
        <w:tblLayout w:type="fixed"/>
        <w:tblCellMar>
          <w:top w:w="0" w:type="dxa"/>
          <w:left w:w="0" w:type="dxa"/>
          <w:bottom w:w="0" w:type="dxa"/>
          <w:right w:w="0" w:type="dxa"/>
        </w:tblCellMar>
      </w:tblPr>
      <w:tblGrid>
        <w:gridCol w:w="3001"/>
        <w:gridCol w:w="326"/>
        <w:gridCol w:w="286"/>
        <w:gridCol w:w="470"/>
        <w:gridCol w:w="490"/>
        <w:gridCol w:w="286"/>
        <w:gridCol w:w="776"/>
        <w:gridCol w:w="326"/>
        <w:gridCol w:w="262"/>
        <w:gridCol w:w="430"/>
        <w:gridCol w:w="449"/>
        <w:gridCol w:w="262"/>
        <w:gridCol w:w="710"/>
        <w:gridCol w:w="271"/>
        <w:gridCol w:w="154"/>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905635" cy="175260"/>
                      <wp:effectExtent l="0" t="0" r="0" b="0"/>
                      <wp:wrapNone/>
                      <wp:docPr id="393" name="Frame393"/>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81610" cy="175260"/>
                      <wp:effectExtent l="0" t="0" r="0" b="0"/>
                      <wp:wrapNone/>
                      <wp:docPr id="395" name="Frame39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98450" cy="175260"/>
                      <wp:effectExtent l="0" t="0" r="0" b="0"/>
                      <wp:wrapNone/>
                      <wp:docPr id="396" name="Frame396"/>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11150" cy="175260"/>
                      <wp:effectExtent l="0" t="0" r="0" b="0"/>
                      <wp:wrapNone/>
                      <wp:docPr id="397" name="Frame397"/>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81610" cy="175260"/>
                      <wp:effectExtent l="0" t="0" r="0" b="0"/>
                      <wp:wrapNone/>
                      <wp:docPr id="398" name="Frame39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92760" cy="175260"/>
                      <wp:effectExtent l="0" t="0" r="0" b="0"/>
                      <wp:wrapNone/>
                      <wp:docPr id="399" name="Frame399"/>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66370" cy="175260"/>
                      <wp:effectExtent l="0" t="0" r="0" b="0"/>
                      <wp:wrapNone/>
                      <wp:docPr id="401" name="Frame401"/>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73050" cy="175260"/>
                      <wp:effectExtent l="0" t="0" r="0" b="0"/>
                      <wp:wrapNone/>
                      <wp:docPr id="402" name="Frame402"/>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85115" cy="175260"/>
                      <wp:effectExtent l="0" t="0" r="0" b="0"/>
                      <wp:wrapNone/>
                      <wp:docPr id="403" name="Frame403"/>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66370" cy="175260"/>
                      <wp:effectExtent l="0" t="0" r="0" b="0"/>
                      <wp:wrapNone/>
                      <wp:docPr id="404" name="Frame404"/>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50850" cy="175260"/>
                      <wp:effectExtent l="0" t="0" r="0" b="0"/>
                      <wp:wrapNone/>
                      <wp:docPr id="405" name="Frame405"/>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72085" cy="175260"/>
                      <wp:effectExtent l="0" t="0" r="0" b="0"/>
                      <wp:wrapNone/>
                      <wp:docPr id="406" name="Frame40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97790" cy="175260"/>
                      <wp:effectExtent l="0" t="0" r="0" b="0"/>
                      <wp:wrapNone/>
                      <wp:docPr id="407" name="Frame4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470"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2"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 </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90" w:type="dxa"/>
            <w:tcBorders/>
            <w:vAlign w:val="center"/>
          </w:tcPr>
          <w:p>
            <w:pPr>
              <w:pStyle w:val="TableContents"/>
              <w:bidi w:val="0"/>
              <w:spacing w:before="0" w:after="0"/>
              <w:ind w:left="0" w:right="0" w:hanging="0"/>
              <w:jc w:val="center"/>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9" w:type="dxa"/>
            <w:tcBorders/>
            <w:vAlign w:val="center"/>
          </w:tcPr>
          <w:p>
            <w:pPr>
              <w:pStyle w:val="TableContents"/>
              <w:bidi w:val="0"/>
              <w:spacing w:before="0" w:after="0"/>
              <w:ind w:left="0" w:right="0" w:hanging="0"/>
              <w:jc w:val="center"/>
              <w:rPr/>
            </w:pPr>
            <w:r>
              <w:rPr/>
              <w:t>    </w:t>
            </w:r>
          </w:p>
        </w:tc>
        <w:tc>
          <w:tcPr>
            <w:tcW w:w="9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0"/>
              <w:ind w:left="0" w:right="0" w:hanging="0"/>
              <w:jc w:val="right"/>
              <w:rPr/>
            </w:pPr>
            <w:r>
              <w:rPr/>
              <w:t>—</w:t>
            </w:r>
          </w:p>
        </w:tc>
        <w:tc>
          <w:tcPr>
            <w:tcW w:w="490"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44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90"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9"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90"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47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Commitments and 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various agreements, the Company will be required to pay royalties and milestone payments upon the successful development and commercialization of products. The Company has entered into funding agreements with The Wellcome Trust Limited ("Wellcome Trust") for the research and development of small molecule compounds in connection with the Company’s oncology and antibacterial programs. As the Company has discontinued development under its antibacterial program, it no longer expects that milestone and royalty payments from the Company to Wellcome Trust will apply under that agreement, resulting in a change to the total amount of development and regulatory milestone payments the Company may become obligated to pay for this program. Under the oncology program funding agreement, to the extent that the Company develops and commercializes program intellectual property on a for-profit basis itself or in collaboration with a partner (provided the Company retains overall control of worldwide commercialization), the Company may become obligated to pay to Wellcome Trust development and regulatory milestone payments and single-digit royalties on sales of any research program product. The Company’s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The Company made the first development milestone payment of $0.8 million to Wellcome Trust under the oncology platform funding agreement during the second quarter of 2016. During the year ended December 31, 2022, the Company incurred $2.5 million of development milestones in connection with the enrollment of patients in the registration-directed Phase 2/3 trial of unesbulin for the treatment of LMS, which is recorded in accounts payable and accrued expenses on the balance sheet and will be payable upon the earlier to occur of the first dose administered to the last patient enrolled in the study or the termination of dosing of all patients in the study. Additional milestone payments of up to an aggregate of $14.5 million may become payable by the Company to Wellcome Trust under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a collaboration agreement with the SMA Foundation. The Company is obligated to pay the SMA Foundation single-digit royalties on worldwide net product sales of any collaboration product that is successfully developed and subsequently commercialized or, with respect to collaboration products the Company outlicenses, including Evrysdi, a specified percentage of certain payments the Company receives from its licensee. Since inception, the SMA Foundation has earned $35.2</w:t>
      </w:r>
      <w:r>
        <w:rPr>
          <w:rFonts w:ascii="'Times New Roman','Times','serif'" w:hAnsi="'Times New Roman','Times','serif'"/>
          <w:sz w:val="20"/>
        </w:rPr>
        <w:t xml:space="preserve"> </w:t>
      </w:r>
      <w:r>
        <w:rPr>
          <w:rFonts w:ascii="Times New Roman;Times;serif" w:hAnsi="Times New Roman;Times;serif"/>
          <w:sz w:val="20"/>
        </w:rPr>
        <w:t>million, $24.5</w:t>
      </w:r>
      <w:r>
        <w:rPr>
          <w:rFonts w:ascii="'Times New Roman','Times','serif'" w:hAnsi="'Times New Roman','Times','serif'"/>
          <w:sz w:val="20"/>
        </w:rPr>
        <w:t xml:space="preserve"> </w:t>
      </w:r>
      <w:r>
        <w:rPr>
          <w:rFonts w:ascii="Times New Roman;Times;serif" w:hAnsi="Times New Roman;Times;serif"/>
          <w:sz w:val="20"/>
        </w:rPr>
        <w:t>million which was paid and $10.7</w:t>
      </w:r>
      <w:r>
        <w:rPr>
          <w:rFonts w:ascii="'Times New Roman','Times','serif'" w:hAnsi="'Times New Roman','Times','serif'"/>
          <w:sz w:val="20"/>
        </w:rPr>
        <w:t xml:space="preserve"> </w:t>
      </w:r>
      <w:r>
        <w:rPr>
          <w:rFonts w:ascii="Times New Roman;Times;serif" w:hAnsi="Times New Roman;Times;serif"/>
          <w:sz w:val="20"/>
        </w:rPr>
        <w:t>million which was accrued as of June 30, 2023. The Company’s obligation to make such payments would end upon the Company’s payment to the SMA Foundation of an aggregate of $52.5</w:t>
      </w:r>
      <w:r>
        <w:rPr>
          <w:rFonts w:ascii="'Times New Roman','Times','serif'" w:hAnsi="'Times New Roman','Times','serif'"/>
          <w:sz w:val="20"/>
        </w:rPr>
        <w:t xml:space="preserve"> </w:t>
      </w:r>
      <w:r>
        <w:rPr>
          <w:rFonts w:ascii="Times New Roman;Times;serif" w:hAnsi="Times New Roman;Times;serif"/>
          <w:sz w:val="20"/>
        </w:rPr>
        <w:t>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asset purchase agreement ("Asset Purchase Agreement") between the Company and Marathon Pharmaceuticals, LLC (now known as Complete Pharma Holdings, LLC) (“Marathon”), Marathon is entitled to receive contingent payments from the Company based on annual net sales of Emflaza up to a specified aggregate maximum amount over the expected commercial life of the asset. In addition, Marathon received a $50.0 million sales-based milestone during the six months ended June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Agilis Merger Agreement, Agilis equityholders were previously entitled to receive contingent consideration payments from the Company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 (iv) a percentage of annual net sales for Friedreich ataxia and Angelman syndrome during specified terms, ranging from 2%-6%. The Company was required to pay $40.0 million of the development milestone payments upon the passing of the second anniversary of the closing of the Agilis Merger, regardless of whether the applicable milestones have been achieved.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terms of the Rights Exchange Agreement, the Participating Rightholders canceled and forfeited their rights under the Agilis Merger Agreement to receive (i) $174.0 million, in the aggregate, of potential milestone payments based on the achievement of certain regulatory milestones and (ii) $37.6 million, in the aggregate, of $40.0 million in development milestone payments that would have been due upon the passing of the second anniversary of the closing of the Agilis Merger, regardless of whether the milestones are achieved.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Rights Exchange Agreement has no effect on the Agilis Merger Agreement other than to provide for the cancellation and forfeiture of the Participating Rightholders’ rights to receive $211.6 million, in the aggregate, of the milestone payments described above. As a result, all other rights and obligations under the Agilis Merger Agreement remain in effect pursuant to their terms, including the Company’s obligation to pay up to an aggregate maximum amount of $20.0 million upon the achievement of certain development milestones (representing the remaining portion of potential development milestone payments for which rights were not canceled and forfeited pursuant to the Rights Exchange Agreement while excluding the remaining $2.4 million milestone payment that was due and paid upon the passing of the second anniversary of the closing of the Agilis Merger), up to an aggregate maximum amount of $361.0 million upon the achievement of certain regulatory milestones (representing the remaining portion of potential regulatory milestone payments for which rights were not canceled and forfeited pursuant to the Rights Exchange Agreement), up to a maximum aggregate amount of $150.0 million upon the achievement of certain net sales milestones and a percentage of annual net sales for Friedreich ataxia and Angelman syndrome during specified terms, ranging from 2% to 6%, pursuant to the terms of the Agilis Merger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July 2022, the European Commission approved Upstaza for the treatment of AADC deficiency for patients 18 months and older within the EEA. As a result of such approval, the Company paid the former equityholders of Agilis $50.0 million in accordance with the terms of the Agilis Merger Agreement in the year ended December 31, 2022. In May 2023, as part of the Company’s strategic portfolio prioritization, the Company decided to discontinue its preclinical and early research programs in its gene therapy platform, which included Friedreich ataxia and Angelman syndrome. As a result, the Company does not expect the milestones related to Friedreich ataxia and Angelman syndrome to be achieved. In addition, the Company does not expect to pay the 2% to 6% royalties on annual net sales related to Friedreich ataxia and Angelman syndrome. As of June 30, 2023, the remaining potential development and regulatory milestones the Company expects to achieve is $31.1 million, and the remaining potential sales milestones the Company expects to achieve is $50.0 million, both of which relate solely to Upstaza.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25, 2019, the Company completed the acquisition of substantially all of the assets of BioElectron Technology Corporation (“BioElectron”), a Delaware corporation, including certain compounds that the Company has begun to develop as part of its Bio-e platform, pursuant to an asset purchase agreement by and between the Company and BioElectron, dated October 1, 2019 (the “BioElectron Asset Purchase Agreement”). BioElectron was a private company with a pipeline focused on inflammatory and central nervous system (CNS) disorders. The lead program, vatiquinone, is in late stage development for CNS disorders with substantial unmet need and significant commercial opportunity that are complementary to PTC’s existing pipeline.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Subject to the terms and conditions of the BioElectron Asset Purchase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BioElectron Asset Purchase Agreement, BioElectron may also become entitled to receive contingent payments based on a percentage of net sales of certain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Subject to the terms and conditions of the Agreement and Plan of Merger, dated as of May 5, 2020 (the “Censa Merger Agreement”) by and among the Company, Hydro Merger Sub, Inc., the Company’s wholly owned, indirect subsidiary, and, solely in its capacity as the representative, agent and attorney-in-fact of the securityholders of Censa, Shareholder Representative Services LLC (such merger pursuant thereto, the “Censa Merger”), former Censa securityholders may become entitled to receive contingent payments from the Company based on (i) the achievement of certain development and regulatory milestones up to an aggregate maximum amount of $217.5 million for </w:t>
      </w:r>
      <w:r>
        <w:rPr>
          <w:rFonts w:ascii="Times New Roman;Times;serif" w:hAnsi="Times New Roman;Times;serif"/>
          <w:sz w:val="20"/>
          <w:shd w:fill="FFFFFF" w:val="clear"/>
        </w:rPr>
        <w:t>sepiapterin</w:t>
      </w:r>
      <w:r>
        <w:rPr>
          <w:rFonts w:ascii="Times New Roman;Times;serif" w:hAnsi="Times New Roman;Times;serif"/>
          <w:sz w:val="20"/>
        </w:rPr>
        <w:t xml:space="preserve">’s two most advanced programs and receipt of a priority review voucher from the FDA as set forth in the Censa Merger Agreement, (ii) $109.0 million in development and regulatory milestones for each additional indication of </w:t>
      </w:r>
      <w:r>
        <w:rPr>
          <w:rFonts w:ascii="Times New Roman;Times;serif" w:hAnsi="Times New Roman;Times;serif"/>
          <w:sz w:val="20"/>
          <w:shd w:fill="FFFFFF" w:val="clear"/>
        </w:rPr>
        <w:t>sepiapterin</w:t>
      </w:r>
      <w:r>
        <w:rPr>
          <w:rFonts w:ascii="Times New Roman;Times;serif" w:hAnsi="Times New Roman;Times;serif"/>
          <w:sz w:val="20"/>
        </w:rPr>
        <w:t xml:space="preserve">,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the Company in consideration of any sublicense of Censa’s intellectual property to commercialize </w:t>
      </w:r>
      <w:r>
        <w:rPr>
          <w:rFonts w:ascii="Times New Roman;Times;serif" w:hAnsi="Times New Roman;Times;serif"/>
          <w:sz w:val="20"/>
          <w:shd w:fill="FFFFFF" w:val="clear"/>
        </w:rPr>
        <w:t>sepiapterin</w:t>
      </w:r>
      <w:r>
        <w:rPr>
          <w:rFonts w:ascii="Times New Roman;Times;serif" w:hAnsi="Times New Roman;Times;serif"/>
          <w:sz w:val="20"/>
        </w:rPr>
        <w:t xml:space="preserve">, on a country-by-country basis, which contingent payment shall equal to a mid-double digit percentage of any such sublicense fees.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February 2023, the Company completed enrollment of its Phase 3 placebo-controlled clinical trial for sepiapterin for PKU.  In connection with this event and pursuant to the Censa Merger Agreement, the Company paid a $30.0 million development milestone to the former Censa securityholders during the three months ended June 30, 2023. The Company elected to pay this milestone in the form of shares of its common stock, less certain cash payments in accordance with the Censa Merger Agreement. Pursuant to such election, the Company issued 657,462 shares of its common stock and paid $0.4 million to the former Censa securityholders.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has the Tegsedi-Waylivra Agreement for the commercialization of Tegsedi and Waylivra, and products containing those compounds in countries in Latin America and the Caribbean. Akcea is entitled to receive royalty payments subject to certain terms set forth in the Tegsedi-Waylivra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employment agreements with certain employees which require the funding of a specific level of payments, if certain events, such as a change in control or termination without cause, occur. Additionally, the Company has royalty payments associated with Translarna, Emflaza, and Upstaza net product revenue, payable quarterly or annually in accordance with the terms of the related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in the ordinary course of its business, the Company is subject to claims, legal proceedings and disputes. The Company is not currently aware of any material legal proceedings against it.</w:t>
      </w:r>
    </w:p>
    <w:p>
      <w:pPr>
        <w:pStyle w:val="TextBody"/>
        <w:bidi w:val="0"/>
        <w:spacing w:before="0" w:after="240"/>
        <w:ind w:left="0" w:right="0" w:hanging="0"/>
        <w:jc w:val="left"/>
        <w:rPr>
          <w:rFonts w:ascii="Times New Roman;Times;serif" w:hAnsi="Times New Roman;Times;serif"/>
          <w:b/>
          <w:sz w:val="20"/>
        </w:rPr>
      </w:pPr>
      <w:bookmarkStart w:id="1600" w:name="_Hlk108700794"/>
      <w:bookmarkStart w:id="1601" w:name="_Hlk109250975"/>
      <w:bookmarkStart w:id="1602" w:name="_Hlk108458180"/>
      <w:bookmarkStart w:id="1603" w:name="_Hlk108696230"/>
      <w:bookmarkEnd w:id="1600"/>
      <w:bookmarkEnd w:id="1601"/>
      <w:bookmarkEnd w:id="1602"/>
      <w:bookmarkEnd w:id="1603"/>
      <w:r>
        <w:rPr>
          <w:rFonts w:ascii="Times New Roman;Times;serif" w:hAnsi="Times New Roman;Times;serif"/>
          <w:b/>
          <w:sz w:val="20"/>
        </w:rPr>
        <w:t>11.        Revenue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views its operations and manages its business in one operating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2023 and 2022, net product sales outside of the United States were $108.9 million and $86.9 million, respectively, consisting of sales of Translarna, Tegsedi, Waylivra, and Upstaza. Translarna net revenues made up $96.5 million and $77.0 million of the net product sales outside of the United States for the three months ended June 30, 2023 and 2022, respectively. During the three months ended June 30, 2023, and 2022, net product sales in the United States were $65.7 million and $56.8 million, respectively, consisting solely of sales of Emflaza. During the three months ended June 30, 2023, three countries, the United States, Russia, and Brazil, accounted for at least 10% of the Company’s net product sales, representing $65.7 million, $19.1 million, and $23.1 million of the net product sales, respectively. During the three months ended June 30, 2022, two countries, the United States and Russia, accounted for at least 10% of the Company’s net product sales, representing $56.8 million and $23.6 million of the net product sales, respectively. For the three months ended June 30, 2023 and 2022, the Company had a total of two and two distributors, respectively, that each accounted for over 10% of the Company’s net product sales.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June 30, 2023 and 2022, net product sales outside of the United States were $241.8 million and $168.1 million, respectively, consisting of Translarna, Tegsedi, Waylivra, and Upstaza. Translarna net revenues made up $211.6 million and $156.2 million of the net product sales outside of the United States for the six months ended June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604" w:name="_Hlk108694896"/>
      <w:bookmarkEnd w:id="1604"/>
      <w:r>
        <w:rPr>
          <w:rFonts w:ascii="Times New Roman;Times;serif" w:hAnsi="Times New Roman;Times;serif"/>
          <w:sz w:val="20"/>
        </w:rPr>
        <w:t>30, 2023 and 2022, respectively. For the six months ended June 30, 2023 and 2022, net product sales in the United States were $120.3 million and $105.4 million, respectively, consisting solely of Emflaza. During the six months ended June 30, 2023, three countries, the United States, Russia, and Brazil, accounted for at least 10% of the Company’s net product sales, representing $120.3 million, $63.7 million, and $48.9 million of net product sales, respectively. During the six months ended June 30, 2022, three countries, the United States, Russia, and Brazil, accounted for at least 10% of the Company’s net product sales, representing $105.4 million, $28.9 million, and $32.5 million of net product sales, respectively. For the six months ended June 30, 2023 and 2022, the Company had a total of two and two distributors, respectively, that each accounted for over 10% of the Company's net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2023 and December 31, 2022, the Company does not have a contract liabilities balance related to net product sales, and has not made significant changes to the judgments made in applying ASC Topic 606.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Collaboration and Royalty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2011, the Company and the SMA Foundation entered into the SMA License Agreement with Roche. Under the terms of the SMA License Agreement, Roche acquired an exclusive worldwide license to the Company’s SMA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SMA License Agreement, the Company is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SMA program currently has one approved product, Evrysdi, which was approved in August 2020 by the FDA for the treatment of SMA in adults and children two months and older. As of June 30, 2023, the Company does not have any remaining research and development event milestones that can be received. The remaining potential sales milestones that can be received is $250.0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2023 and 2022, the Company did not recognize collaboration revenue related to the SMA License Agreement with Roche. For the six months ended June 30, 2023 and 2022, the amounts recognized for the collaboration revenue related to the SMA License Agreement with Roche were immaterial.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research and development and sales milestones, the Company is eligible to receive up to double-digit royalties on worldwide annual net sales of a commercial product under the SMA License Agreement. For the three and six months ended June 30, 2023, the Company has recognized $36.9 million and $67.7 million of royalty revenue related to Evrysdi, respectively. For the three and six months ended June 30, 2022, the Company has recognized $21.8 million and $40.7 million of royalty revenue, respectively, related to Evrysdi.</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Manufacturing Revenue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2023, the Company recognized $2.4 million and $4.4 million of manufacturing revenue, respectively, related to the </w:t>
      </w:r>
      <w:r>
        <w:rPr>
          <w:rFonts w:ascii="Times New Roman;Times;serif" w:hAnsi="Times New Roman;Times;serif"/>
          <w:sz w:val="20"/>
          <w:shd w:fill="FFFFFF" w:val="clear"/>
        </w:rPr>
        <w:t>production of plasmid DNA and AAV vectors for gene therapy applications for external customers.</w:t>
      </w:r>
      <w:r>
        <w:rPr>
          <w:rFonts w:ascii="Times New Roman;Times;serif" w:hAnsi="Times New Roman;Times;serif"/>
          <w:sz w:val="20"/>
        </w:rPr>
        <w:t xml:space="preserve"> No manufacturing revenue was recognized in the three and six months ended June 30, 2022. The Company has not made significant changes to the judgments made in applying ASC Topic 606 for the three and six months ended June 30, 2023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have a contract liabilities balance for the period ended June 30, 2023. As of June 30, 2023, the Company has contract assets of $0.4 million related to the production of plasmid DNA and AAV vectors for gene therapy applications for external customers, which is recorded within prepaid expenses and other current assets on the consolidated balance sheet. As of December 31, 2022, the contract liabilities balance related to plasmid DNA and AAV production for external customers was $1.4 million, which is recorded within deferred revenue on the consolidated balance sheet. The Company did not have any contract assets for the period ending December 31, 2022. For the three and six months ended June 30, 2023, the Company recognized revenue of $0.2 million and $1.6 million, respectively, related to the amounts included in the contract liability balance at the beginning of the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Remaining performance obligations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2023, the Company has contract assets of $0.4 million and no remaining performance obligations related to the production of plasmid DNA and AAV vectors for gene therapy applications for external customers. For the period ended December 31, 2022, the Company had remaining performance obligations of $1.4 million and no contracts assets related to plasmid DNA and AAV production for external customers.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605" w:name="Tc_vP9tutdQ5Ui9N5l3q0fJFQ_10_11"/>
      <w:bookmarkStart w:id="1606" w:name="Tc_-GgsmmoOAE61WYmlwqf0rg_10_0"/>
      <w:bookmarkStart w:id="1607" w:name="Tc_YtE1B1mNyUigaE-Ssle4_g_8_11"/>
      <w:bookmarkStart w:id="1608" w:name="Tc_w6ZHtAWjYkuSuPzWkf6F8g_8_8"/>
      <w:bookmarkStart w:id="1609" w:name="Tc_v7SMgd2LUkKo2Brd_T5fOQ_8_5"/>
      <w:bookmarkStart w:id="1610" w:name="Tc_FM6CHuC3MkOIKRlYVzGUdw_8_2"/>
      <w:bookmarkStart w:id="1611" w:name="Tc_5GyFYJHRSUyUk99H_gjANg_8_0"/>
      <w:bookmarkStart w:id="1612" w:name="Tc_40Vw1eUK0Ei3i9ayQ8Oi1w_7_9"/>
      <w:bookmarkStart w:id="1613" w:name="Tc_21asFqLCekqBQnr_zsoRtQ_7_0"/>
      <w:bookmarkStart w:id="1614" w:name="Tc_IjLlrDF4FU6-nyQBHtPFGQ_6_0"/>
      <w:bookmarkStart w:id="1615" w:name="Tc_C1eVbCa9JU-ZPtVW3Xlz4A_5_0"/>
      <w:bookmarkStart w:id="1616" w:name="Tc_X1HNcUicXkC4FlOQCQTMew_4_11"/>
      <w:bookmarkStart w:id="1617" w:name="Tc_PHrKzdivpU-5a_EPPc7tmA_4_9"/>
      <w:bookmarkStart w:id="1618" w:name="Tc_6XDnATDnh0O8DA06bD1Y3A_4_8"/>
      <w:bookmarkStart w:id="1619" w:name="Tc_DsAoAlzDyUuh9lzhV81WcA_4_5"/>
      <w:bookmarkStart w:id="1620" w:name="Tc_5y8J-5pldEmBXSqqneFxVQ_4_2"/>
      <w:bookmarkStart w:id="1621" w:name="Tc_BB4s84nGrUqZjGWWaiBhAA_4_0"/>
      <w:bookmarkStart w:id="1622" w:name="Tc_LZS6z9jUMEW57kpLA8tFCA_3_12"/>
      <w:bookmarkStart w:id="1623" w:name="Tc_ZfHLIx30qU-XUrskLjGXVA_3_9"/>
      <w:bookmarkStart w:id="1624" w:name="Tc_Q-mRsSDhYkWDs2aU4ONU3w_3_6"/>
      <w:bookmarkStart w:id="1625" w:name="Tc_YKpt9a7RK0i-oh107w5Mqw_3_3"/>
      <w:bookmarkStart w:id="1626" w:name="Tc_BLupBusbzki1w6iZQ52j6g_3_0"/>
      <w:bookmarkStart w:id="1627" w:name="Tc_JJTuJIK5MEaUenDWAPOsWQ_2_12"/>
      <w:bookmarkStart w:id="1628" w:name="Tc_-XeD9QWjoE2X2GgrQ1sZ6g_2_9"/>
      <w:bookmarkStart w:id="1629" w:name="Tc_C6SZmVr-yUeBgxqnV2FDeQ_2_3"/>
      <w:bookmarkStart w:id="1630" w:name="Tc_jzIdZKQYPES58PsahGJ-Zw_2_0"/>
      <w:bookmarkStart w:id="1631" w:name="Tc_LdkZztHvjU6leJ4cIx0NHQ_1_12"/>
      <w:bookmarkStart w:id="1632" w:name="Tc_dLqxA2A2lUa640Lpmskp3w_1_9"/>
      <w:bookmarkStart w:id="1633" w:name="Tc_mCAIRTgZa0Wrrl1BU3zZQg_1_3"/>
      <w:bookmarkStart w:id="1634" w:name="_cc8492d4_5fa0_4a46_afd3_52a401b1b1f8"/>
      <w:bookmarkStart w:id="1635" w:name="Tc_RfqSV1j70UuEIRB6CONbPQ_8_17"/>
      <w:bookmarkStart w:id="1636" w:name="Tc_F-0LyGS83UmrvvO-0jzDfg_8_14"/>
      <w:bookmarkStart w:id="1637" w:name="Tc_XYxhZvT6cEO4gi7XjIptmA_8_12"/>
      <w:bookmarkStart w:id="1638" w:name="Tc_cbkA__PTsE-njF_2gLHNYQ_8_11"/>
      <w:bookmarkStart w:id="1639" w:name="Tc_yftZHIdieEWurTFY0ZYdRA_8_9"/>
      <w:bookmarkStart w:id="1640" w:name="Tc_fsj2BIROPUGxtS-UlYQzLg_8_8"/>
      <w:bookmarkStart w:id="1641" w:name="Tc_UJCUa1HWdU6JrHTDs0h9-g_8_5"/>
      <w:bookmarkStart w:id="1642" w:name="Tc_XrCg-5_uAEGlxCTChkkobg_8_2"/>
      <w:bookmarkStart w:id="1643" w:name="Tc_hPphnX3kiEiB6zYAPS9nrQ_8_0"/>
      <w:bookmarkStart w:id="1644" w:name="Tc_G9iqNB30M0STOghH3QVk6g_7_15"/>
      <w:bookmarkStart w:id="1645" w:name="Tc_bAr2I5Rs_Ee4AGiHGNnCGw_7_12"/>
      <w:bookmarkStart w:id="1646" w:name="Tc_Ve3PqaZj1kqDvyrZUBLONQ_7_9"/>
      <w:bookmarkStart w:id="1647" w:name="Tc_jLE4p6mXJ0uUQ_i-vsr6fA_7_6"/>
      <w:bookmarkStart w:id="1648" w:name="Tc_8Mg1-qbos0SGH6GK9yDzuw_7_0"/>
      <w:bookmarkStart w:id="1649" w:name="Tc_NTv6gD4gH0iOyr6v7rcqRA_6_12"/>
      <w:bookmarkStart w:id="1650" w:name="Tc_Ima8QGV9QUSLvkfKjg4yuA_6_9"/>
      <w:bookmarkStart w:id="1651" w:name="Tc_0m76JcU55Uqx9SAGF45ZYA_6_0"/>
      <w:bookmarkStart w:id="1652" w:name="Tc_Ljw0YRZiQUa6Hn3jHjjwjA_5_12"/>
      <w:bookmarkStart w:id="1653" w:name="Tc_kdz0uwRGs0Sy6oXJOZLepA_5_9"/>
      <w:bookmarkStart w:id="1654" w:name="Tc_6lM3oKFLr0KXM-z7uksnPw_5_6"/>
      <w:bookmarkStart w:id="1655" w:name="Tc_zTzhNG3MlkealZl96k3PNw_5_0"/>
      <w:bookmarkStart w:id="1656" w:name="Tc_cNVNZwJqy0eMUwqxTJJwQQ_4_17"/>
      <w:bookmarkStart w:id="1657" w:name="Tc_LVmIXbA6ckeKU0AP0K6JoA_4_15"/>
      <w:bookmarkStart w:id="1658" w:name="Tc_lFbEiNRcDkuY2vWU2RPXvw_4_14"/>
      <w:bookmarkStart w:id="1659" w:name="Tc_C8gf4qIDUUuee02x42Gnkg_4_12"/>
      <w:bookmarkStart w:id="1660" w:name="Tc_qzFRaZUumU6puAQc8WXOYg_4_11"/>
      <w:bookmarkStart w:id="1661" w:name="Tc_LWbKq7VwJkSrl0-hDkae-Q_4_9"/>
      <w:bookmarkStart w:id="1662" w:name="Tc_5GQURyci4kSfeqCK-92FFg_4_8"/>
      <w:bookmarkStart w:id="1663" w:name="Tc_6_pmnUEl8EiWwoeIG1PpUw_4_5"/>
      <w:bookmarkStart w:id="1664" w:name="Tc_lUyVeoniVUud-NO6LPxRsw_4_2"/>
      <w:bookmarkStart w:id="1665" w:name="Tc_uCrM0-x3fU2WogMFF5ww9g_4_0"/>
      <w:bookmarkStart w:id="1666" w:name="Tc_rNZQWoaBiUaSOb6KoFFWBg_3_18"/>
      <w:bookmarkStart w:id="1667" w:name="Tc__7i-IFaGtUqY0kEISqEQ9Q_3_15"/>
      <w:bookmarkStart w:id="1668" w:name="Tc_M4xArtrZlESCivvzdVj-4w_3_12"/>
      <w:bookmarkStart w:id="1669" w:name="Tc_7Sqv2kcsFkWVhCPodgwwfw_3_9"/>
      <w:bookmarkStart w:id="1670" w:name="Tc_-KLex556qkGdCNFy4PEA5Q_3_6"/>
      <w:bookmarkStart w:id="1671" w:name="Tc_WtZr2VAhhkyC_Ip6tX3hWw_3_3"/>
      <w:bookmarkStart w:id="1672" w:name="Tc_tFumUgEjmUSpf-YHRFM9KQ_3_0"/>
      <w:bookmarkStart w:id="1673" w:name="Tc_d8Vtq3Bb4UqXuBR-Lz7KHQ_2_18"/>
      <w:bookmarkStart w:id="1674" w:name="Tc_Hia3-LIQskK7vrJVn8cTtw_2_15"/>
      <w:bookmarkStart w:id="1675" w:name="Tc_Jizmvb93okqRF7PA6EBf1g_2_9"/>
      <w:bookmarkStart w:id="1676" w:name="Tc_eiwmFbb2Y06E9UZl9eWBAw_2_3"/>
      <w:bookmarkStart w:id="1677" w:name="Tc_BNj-me4S2EugtqnEUsVm-g_2_0"/>
      <w:bookmarkStart w:id="1678" w:name="Tc_YROJy54mNUuosXcBHGtwaA_1_18"/>
      <w:bookmarkStart w:id="1679" w:name="Tc_ApchxcrsQEWixQJNx12obw_1_15"/>
      <w:bookmarkStart w:id="1680" w:name="Tc_hbZ3ISz6HkyExyfGhJXFSg_1_9"/>
      <w:bookmarkStart w:id="1681" w:name="Tc_cdaL7H9whkOxFMS_-O54Nw_1_3"/>
      <w:bookmarkStart w:id="1682" w:name="_65552780_8b31_44f8_ae6c_42f46a0a2fa5"/>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r>
        <w:rPr>
          <w:rFonts w:ascii="Times New Roman;Times;serif" w:hAnsi="Times New Roman;Times;serif"/>
          <w:b/>
          <w:sz w:val="20"/>
        </w:rPr>
        <w:t>12.        Intangible assets and goodwill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Definite-lived intangibles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Definite-lived intangible assets consisted of the following at June 30, 2023 and December 31, 2022:</w:t>
      </w:r>
    </w:p>
    <w:tbl>
      <w:tblPr>
        <w:tblW w:w="10205" w:type="dxa"/>
        <w:jc w:val="left"/>
        <w:tblInd w:w="0" w:type="dxa"/>
        <w:tblLayout w:type="fixed"/>
        <w:tblCellMar>
          <w:top w:w="0" w:type="dxa"/>
          <w:left w:w="0" w:type="dxa"/>
          <w:bottom w:w="0" w:type="dxa"/>
          <w:right w:w="0" w:type="dxa"/>
        </w:tblCellMar>
      </w:tblPr>
      <w:tblGrid>
        <w:gridCol w:w="1438"/>
        <w:gridCol w:w="326"/>
        <w:gridCol w:w="211"/>
        <w:gridCol w:w="947"/>
        <w:gridCol w:w="326"/>
        <w:gridCol w:w="211"/>
        <w:gridCol w:w="796"/>
        <w:gridCol w:w="326"/>
        <w:gridCol w:w="211"/>
        <w:gridCol w:w="926"/>
        <w:gridCol w:w="326"/>
        <w:gridCol w:w="211"/>
        <w:gridCol w:w="961"/>
        <w:gridCol w:w="326"/>
        <w:gridCol w:w="211"/>
        <w:gridCol w:w="901"/>
        <w:gridCol w:w="326"/>
        <w:gridCol w:w="211"/>
        <w:gridCol w:w="1014"/>
      </w:tblGrid>
      <w:tr>
        <w:trPr/>
        <w:tc>
          <w:tcPr>
            <w:tcW w:w="1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913130" cy="175260"/>
                      <wp:effectExtent l="0" t="0" r="0" b="0"/>
                      <wp:wrapNone/>
                      <wp:docPr id="408" name="Frame408"/>
                      <a:graphic xmlns:a="http://schemas.openxmlformats.org/drawingml/2006/main">
                        <a:graphicData uri="http://schemas.microsoft.com/office/word/2010/wordprocessingShape">
                          <wps:wsp>
                            <wps:cNvSpPr txBox="1"/>
                            <wps:spPr>
                              <a:xfrm>
                                <a:off x="0" y="0"/>
                                <a:ext cx="913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01345" cy="175260"/>
                      <wp:effectExtent l="0" t="0" r="0" b="0"/>
                      <wp:wrapNone/>
                      <wp:docPr id="411" name="Frame411"/>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05460" cy="175260"/>
                      <wp:effectExtent l="0" t="0" r="0" b="0"/>
                      <wp:wrapNone/>
                      <wp:docPr id="414" name="Frame4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88010" cy="175260"/>
                      <wp:effectExtent l="0" t="0" r="0" b="0"/>
                      <wp:wrapNone/>
                      <wp:docPr id="417" name="Frame417"/>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10235" cy="175260"/>
                      <wp:effectExtent l="0" t="0" r="0" b="0"/>
                      <wp:wrapNone/>
                      <wp:docPr id="420" name="Frame42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2" name="Frame4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72135" cy="175260"/>
                      <wp:effectExtent l="0" t="0" r="0" b="0"/>
                      <wp:wrapNone/>
                      <wp:docPr id="423" name="Frame42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3890" cy="175260"/>
                      <wp:effectExtent l="0" t="0" r="0" b="0"/>
                      <wp:wrapNone/>
                      <wp:docPr id="426" name="Frame426"/>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3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Ending Balance at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Reclass from</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Ending Balance at</w:t>
            </w:r>
          </w:p>
        </w:tc>
      </w:tr>
      <w:tr>
        <w:trPr/>
        <w:tc>
          <w:tcPr>
            <w:tcW w:w="14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Definite-lived</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2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Indefinite Lived to</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w:t>
            </w:r>
          </w:p>
        </w:tc>
      </w:tr>
      <w:tr>
        <w:trPr/>
        <w:tc>
          <w:tcPr>
            <w:tcW w:w="143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intangibles assets, gross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Definite Lived</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Impairment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1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Emflaza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420,253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46,538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466,791</w:t>
            </w:r>
          </w:p>
        </w:tc>
      </w:tr>
      <w:tr>
        <w:trPr/>
        <w:tc>
          <w:tcPr>
            <w:tcW w:w="1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Waylivra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9,568</w:t>
            </w:r>
          </w:p>
        </w:tc>
      </w:tr>
      <w:tr>
        <w:trPr/>
        <w:tc>
          <w:tcPr>
            <w:tcW w:w="14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Tegsedi</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10,807</w:t>
            </w:r>
          </w:p>
        </w:tc>
      </w:tr>
      <w:tr>
        <w:trPr/>
        <w:tc>
          <w:tcPr>
            <w:tcW w:w="1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Upstaza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89,550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89,550</w:t>
            </w:r>
          </w:p>
        </w:tc>
      </w:tr>
      <w:tr>
        <w:trPr/>
        <w:tc>
          <w:tcPr>
            <w:tcW w:w="1438"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definite-lived intangibles, gross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526,228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576,716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80"/>
        <w:gridCol w:w="326"/>
        <w:gridCol w:w="211"/>
        <w:gridCol w:w="1273"/>
        <w:gridCol w:w="326"/>
        <w:gridCol w:w="211"/>
        <w:gridCol w:w="1081"/>
        <w:gridCol w:w="326"/>
        <w:gridCol w:w="211"/>
        <w:gridCol w:w="901"/>
        <w:gridCol w:w="326"/>
        <w:gridCol w:w="211"/>
        <w:gridCol w:w="1322"/>
      </w:tblGrid>
      <w:tr>
        <w:trPr/>
        <w:tc>
          <w:tcPr>
            <w:tcW w:w="3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209800" cy="175260"/>
                      <wp:effectExtent l="0" t="0" r="0" b="0"/>
                      <wp:wrapNone/>
                      <wp:docPr id="427" name="Frame427"/>
                      <a:graphic xmlns:a="http://schemas.openxmlformats.org/drawingml/2006/main">
                        <a:graphicData uri="http://schemas.microsoft.com/office/word/2010/wordprocessingShape">
                          <wps:wsp>
                            <wps:cNvSpPr txBox="1"/>
                            <wps:spPr>
                              <a:xfrm>
                                <a:off x="0" y="0"/>
                                <a:ext cx="2209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808355" cy="175260"/>
                      <wp:effectExtent l="0" t="0" r="0" b="0"/>
                      <wp:wrapNone/>
                      <wp:docPr id="430" name="Frame430"/>
                      <a:graphic xmlns:a="http://schemas.openxmlformats.org/drawingml/2006/main">
                        <a:graphicData uri="http://schemas.microsoft.com/office/word/2010/wordprocessingShape">
                          <wps:wsp>
                            <wps:cNvSpPr txBox="1"/>
                            <wps:spPr>
                              <a:xfrm>
                                <a:off x="0" y="0"/>
                                <a:ext cx="808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86435" cy="175260"/>
                      <wp:effectExtent l="0" t="0" r="0" b="0"/>
                      <wp:wrapNone/>
                      <wp:docPr id="433" name="Frame43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72135" cy="175260"/>
                      <wp:effectExtent l="0" t="0" r="0" b="0"/>
                      <wp:wrapNone/>
                      <wp:docPr id="436" name="Frame43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839470" cy="175260"/>
                      <wp:effectExtent l="0" t="0" r="0" b="0"/>
                      <wp:wrapNone/>
                      <wp:docPr id="439" name="Frame439"/>
                      <a:graphic xmlns:a="http://schemas.openxmlformats.org/drawingml/2006/main">
                        <a:graphicData uri="http://schemas.microsoft.com/office/word/2010/wordprocessingShape">
                          <wps:wsp>
                            <wps:cNvSpPr txBox="1"/>
                            <wps:spPr>
                              <a:xfrm>
                                <a:off x="0" y="0"/>
                                <a:ext cx="839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7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Ending Balance at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32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Ending Balance at</w:t>
            </w:r>
          </w:p>
        </w:tc>
      </w:tr>
      <w:tr>
        <w:trPr/>
        <w:tc>
          <w:tcPr>
            <w:tcW w:w="348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Definite-lived</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73"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32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w:t>
            </w:r>
          </w:p>
        </w:tc>
      </w:tr>
      <w:tr>
        <w:trPr/>
        <w:tc>
          <w:tcPr>
            <w:tcW w:w="348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intangibles assets, accumulated amortization</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3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Emflaza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(266,023)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(81,908)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(347,931)</w:t>
            </w:r>
          </w:p>
        </w:tc>
      </w:tr>
      <w:tr>
        <w:trPr/>
        <w:tc>
          <w:tcPr>
            <w:tcW w:w="3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Waylivra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3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(3,356)</w:t>
            </w:r>
          </w:p>
        </w:tc>
      </w:tr>
      <w:tr>
        <w:trPr/>
        <w:tc>
          <w:tcPr>
            <w:tcW w:w="3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Tegsedi</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3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w:t>
            </w:r>
          </w:p>
        </w:tc>
      </w:tr>
      <w:tr>
        <w:trPr/>
        <w:tc>
          <w:tcPr>
            <w:tcW w:w="3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Upstaza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(7,151)</w:t>
            </w:r>
          </w:p>
        </w:tc>
      </w:tr>
      <w:tr>
        <w:trPr/>
        <w:tc>
          <w:tcPr>
            <w:tcW w:w="348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definite-lived intangibles,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(273,903)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(86,812)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(360,853)</w:t>
            </w:r>
          </w:p>
        </w:tc>
      </w:tr>
      <w:tr>
        <w:trPr/>
        <w:tc>
          <w:tcPr>
            <w:tcW w:w="3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2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8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definite-lived intangibles,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215,863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Marathon is entitled to receive contingent payments from the Company based on annual net sales of Emflaza beginning in 2018, up to a specified aggregate maximum amount over the expected commercial life of the asset. In accordance with the guidance for an asset acquisition, the Company records the milestone payment when it becomes payable to Marathon and increases the cost basis for the Emflaza rights intangible asset. For the six months ended June 30, 2023, total milestone payments of $46.5 million were recorded. These payments are being amortized over the remaining useful life of the Emflaza rights asset on a straight line basis. As of June 30, 2023, a milestone payable to Marathon of $35.3 million was recorded on the consolidated balance sheet within accounts payable and accrued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Akcea is also entitled to receive royalty payments subject to certain terms set forth in the Tegsedi-Waylivra Agreement related to sales of Waylivra and Tegsedi. In accordance with the guidance for an asset acquisition, the Company records royalty payments when they become payable to Akcea and increase the cost basis for the Waylivra and Tegsedi intangible assets. For the six months ended June 30, 2023, royalty payments of $3.5 million were recorded for Tegsedi. As of June 30, 2023, a royalty payable of $1.6 million for Tegsedi was recorded on the consolidated balance sheet within accounts payable and accrued expenses. No royalties for Waylivra have been triggered to date.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June 30, 2023 and 2022, the Company recognized amortization expense of $47.4 million and $26.3 million, respectively, related to the Emflaza rights, Upstaza, Waylivra, and Tegsedi intangible assets. For the six months ended June 30, 2023 and 2022, the Company recognized amortization expense of $86.8 million and $49.8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bookmarkStart w:id="1683" w:name="_Hlk140235194"/>
      <w:bookmarkStart w:id="1684" w:name="Tc_wBedgXPJaUqF9NcYm5cyng_9_17"/>
      <w:bookmarkStart w:id="1685" w:name="Tc_P6b8BVwFtEmU4RFz89-0yQ_9_0"/>
      <w:bookmarkStart w:id="1686" w:name="Tc_smdQn8bVg06aNUnVclUpPw_7_17"/>
      <w:bookmarkStart w:id="1687" w:name="Tc_fdueEBjiukaoh71BfOXOKg_7_15"/>
      <w:bookmarkStart w:id="1688" w:name="Tc_qD-TIDLYk0SAE3AfBgFQ-w_7_14"/>
      <w:bookmarkStart w:id="1689" w:name="Tc_FXDw0T1o3ke1xFXWHZ3ElQ_7_11"/>
      <w:bookmarkStart w:id="1690" w:name="Tc_A-6eQbpdZku5rZTkLR2M3A_7_9"/>
      <w:bookmarkStart w:id="1691" w:name="Tc_3tznFg4VaEGOsM09_X-65A_7_8"/>
      <w:bookmarkStart w:id="1692" w:name="Tc_ZKoewuCQh0iWl9Y1ArYBhw_7_5"/>
      <w:bookmarkStart w:id="1693" w:name="Tc_jXbZWPTekkm9OcpIKhr0Lg_7_2"/>
      <w:bookmarkStart w:id="1694" w:name="Tc_wYT76rScRkGB0KBFaSwctw_7_0"/>
      <w:bookmarkStart w:id="1695" w:name="Tc_zU0EEuczokmrrfEdMfuq0A_6_18"/>
      <w:bookmarkStart w:id="1696" w:name="Tc_MQ1HPr3r6UCryP_eDH7MnA_6_15"/>
      <w:bookmarkStart w:id="1697" w:name="Tc_GwShePKspkCCTdjMbYozfQ_6_9"/>
      <w:bookmarkStart w:id="1698" w:name="Tc_XdqTxFZvAEqrB6aqzp1OYQ_6_0"/>
      <w:bookmarkStart w:id="1699" w:name="Tc_R3pcrPciLUC_dsaQ7BBaZA_5_18"/>
      <w:bookmarkStart w:id="1700" w:name="Tc_WCHwoyniyUmqmT_WWMyULw_5_15"/>
      <w:bookmarkStart w:id="1701" w:name="Tc_-NkNH1gz3ECVHfooB31KZA_5_9"/>
      <w:bookmarkStart w:id="1702" w:name="Tc_Da7cjMqlqE-s51MWMyfInw_5_0"/>
      <w:bookmarkStart w:id="1703" w:name="Tc_kdADIWxrtUOshszKLAHGHw_4_17"/>
      <w:bookmarkStart w:id="1704" w:name="Tc_Cs_EbXOtpUydOn06f8FnjA_4_15"/>
      <w:bookmarkStart w:id="1705" w:name="Tc_Sy-Uhr977UatuJDVTYfP3w_4_14"/>
      <w:bookmarkStart w:id="1706" w:name="Tc_9utdbAwjeUa94XHp1gUttw_4_12"/>
      <w:bookmarkStart w:id="1707" w:name="Tc_8xvg1KUGkUORHVk2LxerXg_4_11"/>
      <w:bookmarkStart w:id="1708" w:name="Tc_TEsp6Y1Ank2vOMMGlqtzog_4_9"/>
      <w:bookmarkStart w:id="1709" w:name="Tc_RafnaVjyXEmdMvYXi9oQ7Q_4_8"/>
      <w:bookmarkStart w:id="1710" w:name="Tc_KWoebDOwyk-eBO3d4Ihd0g_4_5"/>
      <w:bookmarkStart w:id="1711" w:name="Tc_mvW3eJuCZEOsj6k3EbKH1g_4_2"/>
      <w:bookmarkStart w:id="1712" w:name="Tc_jQV_IPQRYU2IFwXNvblASA_4_0"/>
      <w:bookmarkStart w:id="1713" w:name="Tc_euFOydoaUUWfn65gOyneYQ_3_18"/>
      <w:bookmarkStart w:id="1714" w:name="Tc_OqD7-5QE2EqUXWiQRlMEHA_3_15"/>
      <w:bookmarkStart w:id="1715" w:name="Tc_nt3c22FdTkuoxZ1BFtlCEQ_3_12"/>
      <w:bookmarkStart w:id="1716" w:name="Tc_uvi8Xl675E662d9RCto14Q_3_9"/>
      <w:bookmarkStart w:id="1717" w:name="Tc_W8QjTCgujUuT1ACZs_RTIQ_3_6"/>
      <w:bookmarkStart w:id="1718" w:name="Tc_5oGzl5x0VEmck1LqPWwvGQ_3_3"/>
      <w:bookmarkStart w:id="1719" w:name="Tc_DyPnv4bF4EGHf9yNlSmyQg_3_0"/>
      <w:bookmarkStart w:id="1720" w:name="Tc_dji8-JddcE-lZC06UWADwg_2_18"/>
      <w:bookmarkStart w:id="1721" w:name="Tc_ZaJUMj_tyEqIQ3wC0UZuBQ_2_15"/>
      <w:bookmarkStart w:id="1722" w:name="Tc_aPckQPhm70Gh2MxB2zCoZw_2_9"/>
      <w:bookmarkStart w:id="1723" w:name="Tc_mJzkTeogUUWL4mrOPPNM4A_2_3"/>
      <w:bookmarkStart w:id="1724" w:name="Tc_KqgbzsFxsUC72sQfCwQDUA_2_0"/>
      <w:bookmarkStart w:id="1725" w:name="Tc_qLDCALBgfEmp6WRiKKn11A_1_18"/>
      <w:bookmarkStart w:id="1726" w:name="Tc_tHu7NqoT70a2djPi92tbYg_1_15"/>
      <w:bookmarkStart w:id="1727" w:name="Tc_sn0cowVJdU-PSZrWyOtMyw_1_9"/>
      <w:bookmarkStart w:id="1728" w:name="Tc_ZWC8p2XMcU2qPM2x7XSTwA_1_3"/>
      <w:bookmarkStart w:id="1729" w:name="_9c2c7ef0_40ec_437c_8022_5a2db24cd6b9"/>
      <w:bookmarkStart w:id="1730" w:name="Tc__bVXcFwqC0eVhyQ8rsfvhg_7_2"/>
      <w:bookmarkStart w:id="1731" w:name="Tc_du9PA3cUwkyvxYUCHgI6YQ_7_0"/>
      <w:bookmarkStart w:id="1732" w:name="Tc_JCISYSSoHECG6CNjID2gww_6_0"/>
      <w:bookmarkStart w:id="1733" w:name="Tc_7ve_3fB86EOzFuH5kojrUA_5_0"/>
      <w:bookmarkStart w:id="1734" w:name="Tc_tmrPBni2rk6Ga2EnR8r3Jg_4_0"/>
      <w:bookmarkStart w:id="1735" w:name="Tc_w-FsYemScEuEVIxNKUStAg_3_0"/>
      <w:bookmarkStart w:id="1736" w:name="Tc_cpsmQw1x00qnWH7SEp6iWw_2_2"/>
      <w:bookmarkStart w:id="1737" w:name="Tc_lUrhVEYr1k-fc0_LHLysGQ_2_0"/>
      <w:bookmarkStart w:id="1738" w:name="Tc_7fGisOwy0E-ZysO_T2a6lA_1_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r>
        <w:rPr>
          <w:rFonts w:ascii="Times New Roman;Times;serif" w:hAnsi="Times New Roman;Times;serif"/>
          <w:sz w:val="20"/>
        </w:rPr>
        <w:t>respectively, related to the Emflaza rights, Upstaza, Waylivra, and Tegsedi intangible assets. The estimated future amortization of the Emflaza rights, Upstaza, Waylivra, and Tegsedi intangible assets is expected to be as follows:</w:t>
      </w:r>
    </w:p>
    <w:p>
      <w:pPr>
        <w:pStyle w:val="TextBody"/>
        <w:bidi w:val="0"/>
        <w:spacing w:before="0" w:after="0"/>
        <w:ind w:left="0" w:right="0" w:hanging="0"/>
        <w:jc w:val="left"/>
        <w:rPr/>
      </w:pPr>
      <w:r>
        <w:rPr/>
        <w:t>​</w:t>
      </w:r>
    </w:p>
    <w:tbl>
      <w:tblPr>
        <w:tblW w:w="3613" w:type="dxa"/>
        <w:jc w:val="left"/>
        <w:tblInd w:w="0" w:type="dxa"/>
        <w:tblLayout w:type="fixed"/>
        <w:tblCellMar>
          <w:top w:w="0" w:type="dxa"/>
          <w:left w:w="0" w:type="dxa"/>
          <w:bottom w:w="0" w:type="dxa"/>
          <w:right w:w="0" w:type="dxa"/>
        </w:tblCellMar>
      </w:tblPr>
      <w:tblGrid>
        <w:gridCol w:w="1696"/>
        <w:gridCol w:w="326"/>
        <w:gridCol w:w="302"/>
        <w:gridCol w:w="1289"/>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076960" cy="175260"/>
                      <wp:effectExtent l="0" t="0" r="0" b="0"/>
                      <wp:wrapNone/>
                      <wp:docPr id="440" name="Frame440"/>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91770" cy="175260"/>
                      <wp:effectExtent l="0" t="0" r="0" b="0"/>
                      <wp:wrapNone/>
                      <wp:docPr id="442" name="Frame44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818515" cy="175260"/>
                      <wp:effectExtent l="0" t="0" r="0" b="0"/>
                      <wp:wrapNone/>
                      <wp:docPr id="443" name="Frame443"/>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94,806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12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39,003</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12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12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9,966</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and 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62,122</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215,863</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weighted average remaining amortization period of the definite-lived intangibles as of June 30, 2023 is 5.0 years.</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Indefinite-lived intangibles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Indefinite-lived intangible assets consisted of the following at June 30, 2023 and December 31, 2022:</w:t>
      </w:r>
    </w:p>
    <w:tbl>
      <w:tblPr>
        <w:tblW w:w="10205" w:type="dxa"/>
        <w:jc w:val="left"/>
        <w:tblInd w:w="0" w:type="dxa"/>
        <w:tblLayout w:type="fixed"/>
        <w:tblCellMar>
          <w:top w:w="0" w:type="dxa"/>
          <w:left w:w="0" w:type="dxa"/>
          <w:bottom w:w="0" w:type="dxa"/>
          <w:right w:w="0" w:type="dxa"/>
        </w:tblCellMar>
      </w:tblPr>
      <w:tblGrid>
        <w:gridCol w:w="1456"/>
        <w:gridCol w:w="326"/>
        <w:gridCol w:w="211"/>
        <w:gridCol w:w="941"/>
        <w:gridCol w:w="326"/>
        <w:gridCol w:w="211"/>
        <w:gridCol w:w="796"/>
        <w:gridCol w:w="326"/>
        <w:gridCol w:w="211"/>
        <w:gridCol w:w="920"/>
        <w:gridCol w:w="326"/>
        <w:gridCol w:w="211"/>
        <w:gridCol w:w="961"/>
        <w:gridCol w:w="326"/>
        <w:gridCol w:w="211"/>
        <w:gridCol w:w="901"/>
        <w:gridCol w:w="326"/>
        <w:gridCol w:w="211"/>
        <w:gridCol w:w="1008"/>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924560" cy="175260"/>
                      <wp:effectExtent l="0" t="0" r="0" b="0"/>
                      <wp:wrapNone/>
                      <wp:docPr id="444" name="Frame44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97535" cy="175260"/>
                      <wp:effectExtent l="0" t="0" r="0" b="0"/>
                      <wp:wrapNone/>
                      <wp:docPr id="447" name="Frame447"/>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9"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505460" cy="175260"/>
                      <wp:effectExtent l="0" t="0" r="0" b="0"/>
                      <wp:wrapNone/>
                      <wp:docPr id="450" name="Frame45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33985" cy="175260"/>
                      <wp:effectExtent l="0" t="0" r="0" b="0"/>
                      <wp:wrapNone/>
                      <wp:docPr id="452" name="Frame4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84200" cy="175260"/>
                      <wp:effectExtent l="0" t="0" r="0" b="0"/>
                      <wp:wrapNone/>
                      <wp:docPr id="453" name="Frame453"/>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3985" cy="175260"/>
                      <wp:effectExtent l="0" t="0" r="0" b="0"/>
                      <wp:wrapNone/>
                      <wp:docPr id="455"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10235" cy="175260"/>
                      <wp:effectExtent l="0" t="0" r="0" b="0"/>
                      <wp:wrapNone/>
                      <wp:docPr id="456" name="Frame45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72135" cy="175260"/>
                      <wp:effectExtent l="0" t="0" r="0" b="0"/>
                      <wp:wrapNone/>
                      <wp:docPr id="459" name="Frame45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1"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0080" cy="175260"/>
                      <wp:effectExtent l="0" t="0" r="0" b="0"/>
                      <wp:wrapNone/>
                      <wp:docPr id="462" name="Frame462"/>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Ending Balance at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Reclass from</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Ending Balance at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Indefinite-lived</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Indefinite Lived to</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June 30,</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intangibles assets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Definite Lived</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Impairment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Upstaza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235,766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235,766</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PTC-FA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008" w:type="dxa"/>
            <w:tcBorders/>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PTC-AS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indefinite-lived intangibles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453,566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235,766</w:t>
            </w:r>
          </w:p>
        </w:tc>
      </w:tr>
      <w:tr>
        <w:trPr/>
        <w:tc>
          <w:tcPr>
            <w:tcW w:w="14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451,629</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acquisition of the Company’s gene therapy platform from Agilis, the Company acquired rights to Upstaza, for the treatment of AADC deficiency. AADC deficiency is a rare CNS disorder arising from reductions in the enzyme AADC that result from mutations in the dopa decarboxylase gene. The gene therapy platform also includes PTC-FA, an asset targeting Friedreich ataxia, a rare and life-shortening neurodegenerative disease caused by a single defect in the FXN gene which causes reduced production of the frataxin protein. Additionally, the gene therapy platform includes two other programs targeting CNS disorders, including PTC-AS for Angelman syndrome, a rare, genetic, neurological disorder characterized by severe developmental delays.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accordance with the acquisition method of accounting, the Company allocated the acquisition cost for the Agilis Merger to the underlying assets acquired and liabilities assumed, based upon the estimated fair values of those assets and liabilities at the date of acquisition. The Company classified the fair value of the acquired IPR&amp;D as indefinite lived intangible assets until the successful completion or abandonment of the associated research and development efforts. As of December 31, 2022, the value allocated to the indefinite lived intangible assets was $453.6 million.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In May 2023, as part of the Company’s strategic portfolio prioritization, the Company decided to discontinue its preclinical and early research programs in its gene therapy platform, which included PTC-FA and PTC-AS. As a result, the Company determined that the PTC-FA and PTC-AS indefinite-lived intangible assets were fully impaired and recorded impairment expense of $217.8 million during the three and six month periods ended June 30, 2023, which is recorded as intangible asset impairment in the statement of operations. As of June 30, 2023, the remaining indefinite lived intangible asset balance is $235.8 million, consisting solely of Upstaza, which the Company plans to continue to develop and commercialize. </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a result of the Agilis Merger on August 23, 2018, the Company recorded $82.3 million of goodwill. As of June 30, 2023, there have been no changes to the balance of goodwill since the date of the Agilis Merger. Accordingly, the goodwill balance as of June 30, 2023 is $82.3 million.</w:t>
      </w:r>
    </w:p>
    <w:p>
      <w:pPr>
        <w:pStyle w:val="TextBody"/>
        <w:pBdr/>
        <w:bidi w:val="0"/>
        <w:spacing w:before="0" w:after="0"/>
        <w:ind w:left="0" w:right="0" w:hanging="0"/>
        <w:jc w:val="left"/>
        <w:rPr>
          <w:rFonts w:ascii="Times New Roman;Times;serif" w:hAnsi="Times New Roman;Times;serif"/>
          <w:b/>
          <w:sz w:val="20"/>
        </w:rPr>
      </w:pPr>
      <w:bookmarkStart w:id="1739" w:name="_Hlk117772495"/>
      <w:bookmarkEnd w:id="1739"/>
      <w:r>
        <w:rPr>
          <w:rFonts w:ascii="Times New Roman;Times;serif" w:hAnsi="Times New Roman;Times;serif"/>
          <w:b/>
          <w:sz w:val="20"/>
        </w:rPr>
        <w:t>13.        Subsequent events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evaluated subsequent events and transactions through the filing date. There were no material events that impacted the consolidated financial statements or disclosures.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40" w:name="Item2ManagementsDiscussionandAnalysisofF"/>
      <w:bookmarkStart w:id="1741" w:name="_9c88cff3_c348_4355_aa51_230d69c3a7c0"/>
      <w:bookmarkEnd w:id="1740"/>
      <w:bookmarkEnd w:id="174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resources, so as to allow investors to better view our company from management’s perspective. The following discussion of our financial condition and results of operations should be read in conjunction with our financial statements and the notes to those financial statements appearing elsewhere in this Quarterly Report on Form 10-Q and the audited consolidated financial statements and notes thereto and management’s discussion and analysis of financial condition and results of operations for the year ended December 31, 2022 included in our Annual Report on Form 10-K filed with the Securities and Exchange Commission on February 21, 2023, as amended, or our 2022 Annual Report. This discussion contains forward-looking statements that involve significant risks and uncertainties. As a result of many factors, such as those set forth in Part II, Item 1A. (Risk Factors) of this Quarterly Report on Form 10-Q and Part I, Item 1A. (Risk Factors) of our 2022 Annual Report, our actual results may differ materially from those anticipated in these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science-driven global biopharmaceutical company focused on the discovery, development and commercialization of clinically differentiated medicines that provide benefits to patients with rare disorders. Our ability to innovate to identify new therapies and to globally commercialize products is the foundation that drives investment in a robust and diversified pipeline of transformative medicines. Our mission is to provide access to best-in-class treatments for patients who have little to no treatment options. Our strategy is to leverage our strong scientific and clinical expertise and global commercial infrastructure to bring therapies to patients.  We believe that this allows us to maximize value for all of our stakeholders. We have a portfolio pipeline that includes several commercial products and product candidates in various stages of development, including clinical, pre-clinical and research and discovery stages, focused on the development of new treatments for multiple therapeutic areas for rare diseases relating to neurology, metabolism and oncology.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Updates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Global Commercial Footprint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Global DMD Franchise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two products, Translarna™ (ataluren) and Emflaza® (deflazacort), for the treatment of Duchenne muscular dystrophy, or DMD, a rare, life threatening disorder. Translarna has marketing authorization in the European Economic Area, or EEA, for the treatment of nonsense mutation Duchenne muscular dystrophy, or nmDMD, in ambulatory patients aged two years and older and in Russia for the treatment of nmDMD in patients aged two years and older. Translarna also has marketing authorization in Brazil for the treatment of nmDMD in ambulatory patients two years and older and for continued treatment of patients that become non-ambulatory. In July 2020, the European Commission approved the removal of the statement “efficacy has not been demonstrated in non-ambulatory patients” from the indication statement for Translarna. During the quarter ended June 30, 2023, we recognized $96.5 million in net sales from Translarna. We hold worldwide commercialization rights to Translarna for all indications in all territories. Emflaza is approved in the United States for the treatment of DMD in patients two years and older. During the quarter ended  June 30, 2023, we recognized $65.7 million in net sales from Emflaza.</w:t>
      </w:r>
    </w:p>
    <w:p>
      <w:pPr>
        <w:pStyle w:val="TextBody"/>
        <w:bidi w:val="0"/>
        <w:spacing w:before="0" w:after="0"/>
        <w:ind w:left="0" w:right="0" w:hanging="0"/>
        <w:jc w:val="both"/>
        <w:rPr>
          <w:rFonts w:ascii="Times New Roman;Times;serif" w:hAnsi="Times New Roman;Times;serif"/>
          <w:sz w:val="20"/>
        </w:rPr>
      </w:pPr>
      <w:bookmarkStart w:id="1742" w:name="_Hlk117584037"/>
      <w:bookmarkEnd w:id="1742"/>
      <w:r>
        <w:rPr>
          <w:rFonts w:ascii="Times New Roman;Times;serif" w:hAnsi="Times New Roman;Times;serif"/>
          <w:sz w:val="20"/>
        </w:rPr>
        <w:t xml:space="preserve">Our marketing authorization for Translarna in the EEA is subject to annual review and renewal by the European Commission following reassessment by the European Medicines Agency, or EMA, of the benefit-risk balance of the authorization, which we refer to as the annual EMA reassessment. In June 2022, the European Commission renewed our marketing authorization, making it effective, unless extended, through August 5, 2023. </w:t>
      </w:r>
      <w:r>
        <w:rPr>
          <w:rFonts w:ascii="Times New Roman;Times;serif" w:hAnsi="Times New Roman;Times;serif"/>
          <w:sz w:val="20"/>
          <w:shd w:fill="FFFFFF" w:val="clear"/>
        </w:rPr>
        <w:t>In September 2022, we submitted a Type II variation to the EMA to support conversion of the conditional marketing authorization for Translarna to a standard marketing authorization, which included a report on the placebo-controlled trial of Study 041 and data from the open-label extension as further described below.</w:t>
      </w:r>
      <w:r>
        <w:rPr>
          <w:rFonts w:ascii="Times New Roman;Times;serif" w:hAnsi="Times New Roman;Times;serif"/>
          <w:sz w:val="20"/>
        </w:rPr>
        <w:t xml:space="preserve"> </w:t>
      </w:r>
      <w:r>
        <w:rPr>
          <w:rFonts w:ascii="Times New Roman;Times;serif" w:hAnsi="Times New Roman;Times;serif"/>
          <w:sz w:val="20"/>
          <w:shd w:fill="FFFFFF" w:val="clear"/>
        </w:rPr>
        <w:t xml:space="preserve">In February 2023, we also submitted an annual marketing authorization renewal request to the EMA. The EMA has combined the regulatory procedures, and our conditional marketing authorization for Translarna has been extended pending the completion of the Type II variation process. </w:t>
      </w:r>
      <w:r>
        <w:rPr>
          <w:rFonts w:ascii="Times New Roman;Times;serif" w:hAnsi="Times New Roman;Times;serif"/>
          <w:sz w:val="20"/>
        </w:rPr>
        <w:t xml:space="preserve">We expect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opinion from the Committee for Medicinal Products for Human Use, or CHMP, regarding our Type II variation submission and the annual renewal in the third quarter of 2023. The conditional marketing authorization is further subject to a specific obligation to conduct and submit the results of an 18-month, placebo-controlled trial, followed by an 18-month open-label extension, which we refer to together as Study 041. In June 2022, we announced top-line results from the placebo-controlled trial of Study 041. Within the placebo-controlled trial, Translarna showed a statistically significant treatment benefit across the entire intent to treat population as assessed by the 6-minute walk test, assessing ambulation and endurance, and in lower-limb muscle function as assessed by the North Star Ambulatory Assessment, a functional scale designed for boys affected by DMD. Additionally, Translarna showed a statistically significant treatment benefit across the intent to treat population within the 10-meter run/walk and 4-stair stair climb, each assessing ambulation and burst activity, while also showing a positive trend in the 4-stair stair descend although not statistically significant. Within the primary analysis group, Translarna demonstrated a positive trend across all endpoints, however, statistical significance was not achieved. Translarna was also well tolerated.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country, including each member state of the EEA, has its own pricing and reimbursement regulations. In order to commence commercial sale of product pursuant to our Translarna marketing authorization in any particular country in the EEA, we must finalize pricing and reimbursement negotiations with the applicable government body in such country. As a result, our commercial launch will continue to be on a country-by-country basis. We also have made, and expect to continue to make, product available under early access programs, or EAP programs, both in countries in the EEA and other territories. Our ability to negotiate, secure and maintain reimbursement for product under commercial and EAP programs can be subject to challenge in any particular country and can also be affected by political, economic and regulatory developments in such country.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is substantial risk that if we are unable to renew our EEA marketing authorization during any annual renewal cycle, or if our product label is materially restricted, or if Study 041 does not provide the data necessary to maintain our marketing authorization, we would lose all, or a significant portion of, our ability to generate revenue from sales of Translarna in the EEA and other territories.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Translarna is an investigational new drug in the United States. During the first quarter of 2017, we filed a New Drug Application, or NDA, for Translarna for the treatment of nmDMD over protest with the United States Food and Drug Administration, or FDA.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We followed the FDA’s recommendation and collected, using newer technologies via procedures and methods that we designed, such dystrophin data in a new study, Study 045, and announced the results of Study 045 in February 2021. Study 045 did not meet its pre-specified primary endpoint. In June 2022, we announced top-line results from the placebo-controlled trial of Study 041. Following this announcement, we submitted a meeting request to the FDA to gain clarity on the regulatory pathway for a potential re-submission of an NDA for Translarna. The FDA provided initial written feedback that Study 041 does not provide substantial evidence of effectiveness to support NDA re-submission. We then had an informal meeting with the FDA, during which we discussed the potential path to an NDA re-submission for Translarna. Based on the meeting discussion, we are preparing to request an additional Type C meeting with the FDA to review the totality of data collected to date, including dystrophin and other mechanistic data as well as additional analyses that could support the benefit of Translarna.</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Upstaza</w:t>
      </w:r>
      <w:r>
        <w:rPr>
          <w:rFonts w:ascii="Times New Roman;Times;serif" w:hAnsi="Times New Roman;Times;serif"/>
          <w:sz w:val="15"/>
        </w:rPr>
        <w:t xml:space="preserve">TM </w:t>
      </w:r>
      <w:r>
        <w:rPr>
          <w:rFonts w:ascii="Times New Roman;Times;serif" w:hAnsi="Times New Roman;Times;serif"/>
          <w:sz w:val="20"/>
        </w:rPr>
        <w:t>(eladocagene exuparvovec)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developed Upstaza, a gene therapy used for the treatment of Aromatic L-Amino Decarboxylase, or AADC, deficiency, a rare central nervous system, or CNS, disorder arising from reductions in the enzyme AADC that results from mutations in the dopa decarboxylase gene. In July 2022, the European Commission approved Upstaza for the treatment of AADC deficiency for patients 18 months and older within the EEA. In November 2022, the Medicines and Healthcare Products Regulatory Agency approved Upstaza for the treatment of AADC deficiency for patients 18 months and older within the United Kingdom. We are also preparing a biologics license application, or BLA, for Upstaza for the treatment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AADC deficiency in the United States. In October 2022, we held a Type C meeting with the FDA to discuss the details of a potential submission package for Upstaza. At that meeting, the FDA asked for additional bioanalytical data in support of comparability between the drug product used in the clinical studies and the commercial drug product. We completed these analyses and provided the results to the FDA for review.  Pending FDA feedback, we expect to submit a BLA to the FDA in the third quarter of 2023.</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sz w:val="20"/>
        </w:rPr>
        <w:t>Tegsedi</w:t>
      </w:r>
      <w:r>
        <w:rPr>
          <w:rFonts w:ascii="Times New Roman;Times;serif" w:hAnsi="Times New Roman;Times;serif"/>
          <w:sz w:val="15"/>
        </w:rPr>
        <w:t>®</w:t>
      </w:r>
      <w:r>
        <w:rPr>
          <w:rFonts w:ascii="Times New Roman;Times;serif" w:hAnsi="Times New Roman;Times;serif"/>
          <w:sz w:val="20"/>
        </w:rPr>
        <w:t xml:space="preserve"> (inotersen) and Waylivra™ (volanesorsen)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hold the rights for the commercialization of Tegsedi and Waylivra for the treatment of rare diseases in countries in Latin America and the Caribbean pursuant to a Collaboration and License Agreement, or the Tegsedi-Waylivra Agreement, dated August 1, 2018, by and between us and Akcea Therapeutics, Inc., or Akcea, a subsidiary of Ionis Pharmaceuticals, Inc. Tegsedi has received marketing authorization in the United States, European Union, or EU, and Brazil for the treatment of stage 1 or stage 2 polyneuropathy in adult patients with hereditary transthyretin amyloidosis, or hATTR amyloidosis. We began to make commercial sales of Tegsedi for the treatment of hATTR amyloidosis in Brazil in the second quarter of 2022 and we continue to make Tegsedi available in certain other countries within Latin America and the Caribbean through EAP programs. In August 2021, ANVISA, the Brazilian health regulatory authority, approved Waylivra as the first treatment for familial chylomicronemia syndrome, or FCS, in Brazil and we began to make commercial sales of Waylivra in Brazil in the third quarter of 2022 while continuing to make Waylivra available in certain other countries within Latin America and the Caribbean through EAP programs. In December 2022, ANVISA approved Waylivra for the treatment of familial partial lipodystrophy, or FPL. Waylivra has also received marketing authorization in the EU for the treatment of FCS.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Evrysdi</w:t>
      </w:r>
      <w:r>
        <w:rPr>
          <w:rFonts w:ascii="Times New Roman;Times;serif" w:hAnsi="Times New Roman;Times;serif"/>
          <w:sz w:val="15"/>
        </w:rPr>
        <w:t>®</w:t>
      </w:r>
      <w:r>
        <w:rPr>
          <w:rFonts w:ascii="Times New Roman;Times;serif" w:hAnsi="Times New Roman;Times;serif"/>
          <w:sz w:val="20"/>
        </w:rPr>
        <w:t xml:space="preserve"> (risdiplam)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 spinal muscular atrophy, or SMA, collaboration with F. Hoffman-La Roche Ltd. and Hoffman-La Roche Inc., which we refer to collectively as Roche, and the Spinal Muscular Atrophy Foundation, or SMA Foundation. The SMA program has one approved product, Evrysdi® (risdiplam), which was approved by the FDA in August 2020 for the treatment of SMA in adults and children two months and older and by the European Commission in March 2021 for the treatment of 5q SMA in patients two months and older with a clinical diagnosis of SMA Type 1, Type 2 or Type 3 or with one to four SMN2 copies. Evrysdi also received marketing authorization for the treatment of SMA in Brazil in October 2020 and Japan in June 2021. In May 2022, the FDA approved a label expansion for Evrysdi to include infants under two months old with SMA. In July 2023, the CHMP adopted a positive opinion for the extension of the Evrysdi marketing authorization to include infants under two months old in the EU and we expect a final decision regarding the approval from the European Commission later in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Diversified Development Pipeline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Splicing Platform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our SMA program, our splicing platform also includes PTC518, which is being developed for the treatment of Huntington’s disease, or HD. We announced the results from our Phase 1 study of PTC518 in healthy volunteers in September 2021 demonstrating dose-dependent lowering of huntingtin messenger ribonucleic acid and protein levels, that PTC518 efficiently crosses blood brain barrier at significant levels and that PTC518 was well tolerated.  We initiated a Phase 2 study of PTC518 for the treatment of HD in the first quarter of 2022, which consists of an initial 12-week placebo-controlled phase focused on safety, pharmacology and pharmacodynamic effects followed by a nine-month placebo-controlled phase focused on PTC518 biomarker effect. In June 2023, we announced interim data from the 12-week placebo-controlled phase. The study demonstrated dose-dependent lowering of Huntingtin, or HTT, protein levels in peripheral blood cells, reaching an approximate mean 30% reduction in mutant HTT levels at the 10mg dose level. In addition, PTC518 exposure in the cerebrospinal fluid was consistent with or higher than plasma unbound drug levels. Furthermore, PTC518 was well tolerated with no treatment-related serious adverse events. Enrollment in the Phase 2 study remains active and ongoing outside of the United States. Enrollment within the United States is paused as the FDA has requested additional data to allow the Phase 2 study to proceed; discussions are ongoing with the FDA to allow the resumption of U.S. enrollment.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Metabolic Platform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The most advanced molecule in our metabolic platform is sepiapterin, a precursor to intracellular tetrahydrobiopterin, which is a critical enzymatic cofactor involved in metabolism and synthesis of numerous metabolic products, for orphan diseases. In May 2023, we announced that the primary endpoint was achieved in our registration-directed Phase 3 trial for sepiapterin for phenylketonuria, or PKU. The primary endpoint of the study was the achievement of statistically-significant reduction in blood Phe level. The primary analysis population included those patients who have a greater than 30% reduction in blood Phe levels during the Part 1 run-in phase of the trial. Sepiapterin demonstrated Phe level reduction of approximately 63% in the overall primary analysis population and Phe level reduction of approximately 69% in the subset for classical PKU patients. Additionally, sepiapterin was well tolerated with no serious adverse events. Following the placebo-controlled study, patients were eligible to enroll in a long-term open-label study, which is still ongoing and will evaluate long-term safety, durability and Phe tolerance. We expect to submit an NDA to the FDA for sepiapterin for the treatment of PKU in the fourth quarter of 2023 </w:t>
      </w:r>
      <w:r>
        <w:rPr>
          <w:rFonts w:ascii="Times New Roman;Times;serif" w:hAnsi="Times New Roman;Times;serif"/>
          <w:sz w:val="20"/>
        </w:rPr>
        <w:t>pending FDA feedback from our scheduled pre-NDA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Bio-e Platform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Bio-e platform consists of small molecule compounds that target oxidoreductase enzymes that regulate oxidative stress and inflammatory pathways central to the pathology of a number of CNS diseases. The two most advanced molecules in our Bio-e platform are vatiquinone and utreloxastat.  We announced topline results from a registration-directed Phase 3 trial of vatiquinone in children and young adults with Friedreich ataxia in May 2023. While the study did not meet its primary endpoint of statistically significant change in modified Friedreich Ataxia Rating Scale, or mFARS, score at 72 weeks in the primary analysis population, vatiquinone treatment did demonstrate significant benefit on key disease subscales and secondary endpoints. In addition, in the population of subjects that completed the study protocol, significance was reached in the mFARS endpoint and several secondary endpoints. Furthermore, vatiquinone was well tolerated. We have been granted a Type C meeting with the FDA to discuss the potential for an NDA submission for vatiquinone for the treatment of Friedreich ataxia. In June 2023, we announced that our registration-directed Phase 2/3 placebo-controlled trial of vatiquinone in children with mitochondrial disease associated seizures did not achieve its primary endpoint of reduction in observable motor seizures. We have decided to deprioritize our program for vatiquinone in children with mitochondrial disease associated seizures given the results of the Phase 2/3 study. In the third quarter of 2021, we completed a Phase 1 trial in healthy volunteers to evaluate the safety and pharmacology of utreloxastat. Utreloxastat was found to be well-tolerated with no reported serious adverse events while demonstrating predictable pharmacology. We initiated a Phase 2 trial of utreloxastat for amyotrophic lateral sclerosis in the first quarter of 2022 and enrollment is ongoing.</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Oncology Platform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Unesbulin is our most advanced oncology agent. We completed our Phase 1 trials evaluating unesbulin in leiomyosarcoma, or LMS, and diffuse intrinsic pontine glioma, or DIPG, in the fourth quarter of 2021. We initiated a registration-directed Phase 2/3 trial of unesbulin for the treatment of LMS in the first quarter of 2022 and enrollment is ongoing. We are evaluating our plans for a potential initiation of a registration-directed Phase 2/3 trial of unesbulin for the treatment of DIPG.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Multi-Platform Discovery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have a pipeline of product candidates and discovery programs that are in early clinical, pre-clinical and research and development stages focused on the development of new treatments for multiple therapeutic areas, including rare diseases and oncology.</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May 2023, we announced a strategic pipeline prioritization following a review of our preclinical development programs. Based on this review, we decided to discontinue our preclinical and early research programs in our gene therapy platform, including the programs targeting Friedreich ataxia and Angelman syndrome. In connection with this strategic prioritization, in May 2023, we committed to a reduction in workforce of approximately 8%, which will primarily affect employees in the United States. We plan to complete the reduction in workforce by August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COVID 19 Impact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global pandemic caused by a strain of novel coronavirus, COVID-19, has impacted the timing of certain of our clinical trials and regulatory submissions as well as other aspects of our business operations. We cannot be certain what the overall impact of the COVID-19 pandemic will be on our business and it has the potential to materially adversely affect our business, financial condition, results of operations, and prospects. For additional information, see “Item 1A. Risk Factors - </w:t>
      </w:r>
      <w:r>
        <w:rPr>
          <w:rFonts w:ascii="Times New Roman;Times;serif" w:hAnsi="Times New Roman;Times;serif"/>
          <w:i/>
          <w:sz w:val="20"/>
        </w:rPr>
        <w:t>We face risks related to health epidemics and other widespread outbreaks of contagious disease, which have previously, and may once again, delay our ability to complete our ongoing clinical trials and initiate future clinical trials, disrupt regulatory activities and have other adverse effects on our business and operations, including the novel coronavirus (COVID 19) pandemic, which disrupted, and may continue to disrupt, our operations and may significantly impact our operating results. In addition, the COVID 19 pandemic has caused substantial disruption in the financial markets and economies, which could result in adverse effects on our business and operations.</w:t>
      </w:r>
      <w:r>
        <w:rPr>
          <w:rFonts w:ascii="Times New Roman;Times;serif" w:hAnsi="Times New Roman;Times;serif"/>
          <w:sz w:val="20"/>
        </w:rPr>
        <w:t>” in our 2022 Annual Report.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Funding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success of our products and any other product candidates we may develop, depends largely on obtaining and maintaining reimbursement from governments and third-party insurers. Our revenues are primarily generated from sales of Translarna for the treatment of nmDMD in countries where we were able to obtain acceptable commercial pricing and reimbursement terms and in select countries where we are permitted to distribute Translarna under our EAP programs and from sales of Emflaza for the treatment of DMD in the United States. We have also recognized revenue from sales of Upstaza for the treatment of AADC deficiency in the EEA and have recognized revenue associated with milestone and royalty payments from Roche pursuant to a License and Collaboration Agreement, or the SMA License Agreement, by and among us, Roche and, for the limited purposes set forth therein, the SMA Foundation, under our SMA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financed our operations primarily through our offering of  the 1.50% convertible senior notes due 2026, or the 2026 Convertible Notes, our public offerings of common stock in February 2014, in October 2014, in April 2018, in January 2019, and in September 2019, the common stock issued in our “at the marketing offering”, our initial public offering of common stock in June 2013, proceeds from the Royalty Purchase Agreement (as defined below), net proceeds from our borrowings under the Blackstone Credit Agreement (as defined below), private placements of our convertible preferred stock and common stock, collaborations, bank and institutional lender debt, other convertible debt, grant funding and clinical trial support from governmental and philanthropic organizations and patient advocacy groups in the disease areas addressed by our product candidates. We have relied on revenue generated from net sales of Translarna for the treatment of nmDMD in territories outside of the United States since 2014, Emflaza for the treatment of DMD in the United States since 2017 and Upstaza for the treatment of AADC deficiency in the EEA since 2022. We have also relied on revenue associated with milestone and royalty payments from Roche pursuant to the SMA License Agreement, under our SMA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2022, we entered into a credit agreement, or the Blackstone Credit Agreement, for fundings of up to $950.0 million consisting of a committed loan facility consisting of a senior secured term loan facility funded on October 27, 2022, or the Closing Date, in the aggregate principal amount of $300.0 million, and a delayed draw term loan facility of up to $150.0 million to be funded at our request within 18 months of the Closing Date subject to specified conditions, and further contemplating the potential for up to $500.0 million of additional financing, to the extent that we request such additional financing and subject to the Lenders’ (as defined below) agreement to provide such additional financing and to mutual agreement on terms among us and certain of our subsidiaries, or, collectively with us, the Loan Parties, and funds and other affiliated entities advised or managed by Blackstone Life Sciences and Blackstone Credit, or collectively, Blackstone, and such lenders, together with their permitted assignees, the Lenders, and Wilmington Trust, National Association, as the administrative agent for the Lenders.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Convertible Notes consist of $287.5 million aggregate principal amount of 1.50% convertible senior notes due 2026. The 2026 Convertible Notes bear cash interest at a rate of 1.50% per year, payable semi-annually on March 15 and September 15 of each year, beginning on March 15, 2020. The 2026 Convertible Notes will mature on September 15, 2026, unless earlier repurchased or converted. We received net proceeds of $279.3 million after deducting the initial purchasers’ discounts and commissions and the offering expenses payable by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2019, we entered into an At the Market Offering Sales Agreement, or the Sales Agreement, with Cantor Fitzgerald and RBC Capital Markets, LLC, or together, the Sales Agents,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of 1933, as amended, or the Securities Act. During the three and six months ended June 30, 2023, we did not issue or sell any shares of common stock pursuant to the Sales Agreement. The remaining shares of our common stock available to be issued and sold, under the Sales Agreement, have an aggregate offering price of up to $93.0 million as of June 30,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2023, we had an accumulated deficit of $2,994.8 million. We had a net loss of $337.8 million and $278.8 million for the six months ended June 30, 2023 and 2022,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including expanding our direct manufacturing capabilities at our leased biologics manufacturing facility and administrative and employee-based expenses. In addition to the foregoing, we expect to continue to incur ongoing research and development expenses for our products and product candidates, including our splicing, metabolic, Bio-e and oncology programs as well as studies in our products for maintaining authorizations, including Study 041, label extensions and additional indications. In addition, we may incur substantial costs in connection with our efforts to advance our regulatory submissions. We continue to seek marketing authorization for Translarna for the treatment of nmDMD in territories that we do not currently have marketing authorization in. We are also preparing and anticipate submitting a BLA to the FDA for Upstaza for the treatment of AADC deficiency in the United States in the third quarter of 2023 and expect to submit an NDA to the FDA for sepiapterin for the treatment of PKU in the fourth quarter of 2023 pending FDA feedback from our scheduled pre-NDA meeting. These efforts may significantly impact the timing and extent of our commercialization expenses.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seek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2023, we completed enrollment of our Phase 3 placebo-controlled clinical trial for sepiapterin for PKU.  In connection with this event and pursuant to the Agreement and Plan of Merger, dated as of May 5, 2020, or the Censa Merger Agreement, by and among us, Hydro Merger Sub, Inc., our wholly owned, indirect subsidiary, Censa and, solely in its capacity as the representative, agent and attorney-in-fact of the securityholders of Censa, Shareholder Representative Services LLC, we paid a $30.0 million development milestone to the former Censa securityholders. We elected to pay this milestone in the form of shares of our common stock, less certain cash payments in accordance with the Censa Merger Agreement. Pursuant to such election, we issued 657,462 shares of our common stock and paid $0.4 million to former Censa securityholders. We expect to pay the former equityholders of Agilis $20.0 million in regulatory milestone payments upon the acceptance for filing by the FDA of a BLA for Upstaza for the treatment of AADC deficiency. We expect to submit a BLA for Upstaza to the FDA in the third quarter of 2023. We also expect to make an additional payment to the former Censa securityholders of $25.0 million in cash upon the potential achievement in 2023 of a development and regulatory milestone relating to sepiapterin.</w:t>
      </w:r>
    </w:p>
    <w:p>
      <w:pPr>
        <w:pStyle w:val="TextBody"/>
        <w:bidi w:val="0"/>
        <w:spacing w:before="0" w:after="240"/>
        <w:ind w:left="0" w:right="0" w:hanging="0"/>
        <w:jc w:val="both"/>
        <w:rPr>
          <w:rFonts w:ascii="Times New Roman;Times;serif" w:hAnsi="Times New Roman;Times;serif"/>
          <w:sz w:val="20"/>
        </w:rPr>
      </w:pPr>
      <w:bookmarkStart w:id="1743" w:name="_Hlk109909797"/>
      <w:bookmarkStart w:id="1744" w:name="_Hlk109910234"/>
      <w:bookmarkEnd w:id="1743"/>
      <w:bookmarkEnd w:id="1744"/>
      <w:r>
        <w:rPr>
          <w:rFonts w:ascii="Times New Roman;Times;serif" w:hAnsi="Times New Roman;Times;serif"/>
          <w:sz w:val="20"/>
          <w:shd w:fill="FFFFFF" w:val="clear"/>
        </w:rPr>
        <w:t xml:space="preserve">We also have certain significant contractual obligations and commercial commitments that require funding and we have disclosed these items under the heading “Management’s Discussion and Analysis of Financial Condition and Results of Operations-Funding Obligations” in our 2022 Annual Report. </w:t>
      </w:r>
      <w:r>
        <w:rPr>
          <w:rFonts w:ascii="Times New Roman;Times;serif" w:hAnsi="Times New Roman;Times;serif"/>
          <w:sz w:val="20"/>
        </w:rPr>
        <w:t xml:space="preserve">There were no material changes to these obligations and commitments during the period ended June 30, 2023. </w:t>
      </w:r>
      <w:r>
        <w:rPr>
          <w:rFonts w:ascii="Times New Roman;Times;serif" w:hAnsi="Times New Roman;Times;serif"/>
          <w:sz w:val="20"/>
          <w:shd w:fill="FFFFFF" w:val="clear"/>
        </w:rPr>
        <w:t>Furthermore, since we are a public company, we have incurred and expect to continue to incur additional costs associated with operating as such including significant legal, accounting, investor relations and other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never been profitable and we will need to generate significant revenues to achieve and sustain profitability, and we may never do so. Accordingly, we may need to obtain substantial additional funding in connection with our continuing operations. Adequate additional financing may not be available to us on acceptable terms, or at all. If we are unable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raise capital when needed or on attractive terms, we could be forced to delay, reduce or eliminate our research and development programs or our commercialization efforts.</w:t>
      </w:r>
    </w:p>
    <w:p>
      <w:pPr>
        <w:pStyle w:val="TextBody"/>
        <w:bidi w:val="0"/>
        <w:spacing w:before="0" w:after="240"/>
        <w:ind w:left="0" w:right="0" w:hanging="0"/>
        <w:jc w:val="left"/>
        <w:rPr>
          <w:rFonts w:ascii="Times New Roman;Times;serif" w:hAnsi="Times New Roman;Times;serif"/>
          <w:b/>
          <w:sz w:val="20"/>
        </w:rPr>
      </w:pPr>
      <w:bookmarkStart w:id="1745" w:name="_Hlk108697565"/>
      <w:bookmarkEnd w:id="1745"/>
      <w:r>
        <w:rPr>
          <w:rFonts w:ascii="Times New Roman;Times;serif" w:hAnsi="Times New Roman;Times;serif"/>
          <w:b/>
          <w:sz w:val="20"/>
        </w:rPr>
        <w:t>Financial operations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Net product revenues. </w:t>
      </w:r>
      <w:r>
        <w:rPr>
          <w:rFonts w:ascii="Times New Roman;Times;serif" w:hAnsi="Times New Roman;Times;serif"/>
          <w:sz w:val="20"/>
        </w:rPr>
        <w:t>To date, our net product revenues have consisted primarily of sales of Translarna for the treatment of nmDMD in territories outside of the United States and sales of Emflaza for the treatment of DMD in the United States. We recognize revenue when performance obligations with customers have been satisfied. Our performance obligations are to provide products based on customer orders from distributors, hospitals, specialty pharmacies or retail pharmacies. The performance obligations are satisfied at a point in time when our customer obtains control of the product, which is typically upon delivery. We invoice customers after the products have been delivered and invoice payments are generally due within 30 to 90 days of invoice date. We determine the transaction price based on fixed consideration in its contractual agreements. Contract liabilities arise in certain circumstances when consideration is due for goods not yet provided. As we have identified only one distinct performance obligation, the transaction price is allocated entirely to the product sale. In determining the transaction price, a significant financing component does not exist since the timing from when we deliver product to when the customers pay for the product is typically less than one year. Customers in certain countries pay in advance of product delivery. In those instances, payment and delivery typically occur in the same month.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record product sales net of any variable consideration, which includes discounts, allowances, rebates related to Medicaid and other government pricing programs, and distribution fees. We use the expected value or most likely amount method when estimating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For the three months ended June 30, 2023 and 2022, net product sales outside of the United States were $108.9 million and $86.9 million, respectively consisting of sales of Translarna, Tegsedi, Waylivra and Upstaza. Translarna net revenues made up $96.5 million and $77.0 million of the net product sales outside of the United States for the three months ended June 30, 2023 and 2022, respectively.  For the three months ended June 30, 2023 and 2022, net product sales in the United States were $65.7 million and $56.8 million, respectively, consisting solely of sales of Emflaza. During the three months ended June 30, 2023, three countries, the United States, Russia, and Brazil, accounted for at least 10% of our net product sales, representing $65.7 million, $19.1 million, and $23.1 million of the net product sales, respectively. During the three months ended June 30, 2022, two countries, the United States and Russia, accounted for at least 10% of our net product sales, representing $56.8 million and $23.6 million of net product sales, respectively. For the three months ended June 30, 2023 and 2022, we had a total of two and two distributors, respectively, that each accounted for over 10% of our net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2023 and 2022, net product sales outside of the United States were $241.8 million and $168.1 million, respectively consisting of sales of Translarna, Tegsedi, Waylivra and Upstaza. Translarna net revenues made up $211.6 million and $156.2 million of the net product sales outside of the United States for the six months ended June 30, 2023 and 2022, respectively.  For the six months ended June 30, 2023 and 2022, net product sales in the United States were $120.3 million and $105.4 million, respectively, consisting solely of sales of Emflaza. During the six months ended June 30, 2023, three countries, the United States, Russia, and Brazil, accounted for at least 10% of our net product sales, representing $120.3 million, $63.7 million, and $48.9 million of net product sales, respectively. During the six months ended June 30, 2022, three countries, the United States, Russia, and Brazil, accounted for at least 10% of our net product sales, representing $105.4 million, $28.9 million, and $32.5 million of net product sales, respectively. For the six months ended June 30, 2023 and 2022, we had a total of two and two distributors, respectively, that each accounted for over 10% of our net product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relation to customer contracts, we incur costs to fulfill a contract but do not incur costs to obtain a contract. These costs to fulfill a contract do not meet the criteria for capitalization and are expensed as incurred. We consider any shipping and handling costs that are incurred after the customer has obtained control of the product as a cost to fulfill a promise. Shipping and handling costs associated with finished goods delivered to customers are recorded as a selling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Roche and the SMA Foundation Collaboration. </w:t>
      </w:r>
      <w:r>
        <w:rPr>
          <w:rFonts w:ascii="Times New Roman;Times;serif" w:hAnsi="Times New Roman;Times;serif"/>
          <w:sz w:val="20"/>
        </w:rPr>
        <w:t xml:space="preserve">In November 2011, we entered into the SMA License Agreement pursuant to which we are collaborating with Roche and the SMA Foundation to further develop and commercialize compounds identified under our SMA program with the SMA Foundation. The research component of this agreement terminated effective December 31, 2014. We are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As of June 30, 2023, we had recognized a total of $210.0 million in milestone payments and $240.6 million royalties on net sales pursuant to the SMA License Agreement. As of June 30, 2023, there are no remaining research and development event milestones that we can receive. The remaining potential sales milestones as of June 30, 2023 are $250.0 million upon achievement of certain sales events.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2023 and 2022, we did not recognize collaboration revenue related to the SMA License Agreement with Roche. For the six months ended June 30, 2023 and 2022, the amounts recognized for the collaboration revenue related to the SMA License Agreement with Roche were immaterial. There were no milestones triggered from Roche in the three and six months ended June 30, 2023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2023, we recognized $36.9 million and $67.7 million of royalty revenue related to Evrysdi, respectively. For the three and six months ended June 30, 2022, the Company has recognized $21.8 million and $40.7 million of royalty revenue, respectively, related to Evrysdi.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2020, we entered into a Royalty Purchase Agreement with RPI 2019 Intermediate Finance Trust, or RPI, and, for the limited purposes set forth in the agreement, Royalty Pharma PLC, or the Royalty Purchase Agreement. Pursuant to the Royalty Purchase Agreement, we sold to RPI 42.933%, or the Assigned Royalty Payment, of our right to receive sales-based royalty payments, or the Royalty, on worldwide net sales of Evrysdi and any other product developed pursuant to the SMA License Agreement in consideration for $650.0 million. We have retained a 57.067% interest in the Royalty and all economic rights to receive the remaining potential regulatory and sales milestone payments under the SMA License Agreement.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Manufacturing Revenue.</w:t>
      </w:r>
      <w:r>
        <w:rPr>
          <w:rFonts w:ascii="Times New Roman;Times;serif" w:hAnsi="Times New Roman;Times;serif"/>
          <w:sz w:val="20"/>
        </w:rPr>
        <w:t xml:space="preserve"> We have manufacturing services related to the production of plasmid deoxyribonucleic acid, or DNA, and adeno-associated virus, or AAV, vectors for gene therapy applications for external customers. Performance obligations vary but may include manufacturing plasmid DNA and/or AAV vectors, material testing, stability studies, and other services related to material development. The transaction prices for these arrangements are fixed and include amounts stated in the contracts for each promised service. Typically, the performance obligations within a manufacturing contract are highly interdependent, in which case, we will combine them into a single performance obligation. We have determined that the assets created have no alternative use to us, and we have an enforceable right to payment for the performance completed to date, therefore revenue related to these services are recognized over time and is measured using an output method based on performance of manufacturing milestones completed to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Manufacturing service contracts may also include performance obligations related to project management services or obtaining materials from third parties. We have determined that these are separate performance obligations for which revenue is recognized at the point in time the obligation is performed. For performance obligations related to obtaining third party materials, we have determined that we are the principal as we have control of the materials and have discretion in setting the price. Therefore, we recognize revenue on a gross basis related to obtaining third party materials.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arrangements require a portion of the contract consideration to be received in advance at the commencement of the contract, and such advance payment is initially recorded as a contract liability. A contract asset may be recognized in the event our satisfaction of performance obligations outpaces customer billings.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2023, we recognized $2.4 million and $4.4 million of manufacturing revenue, respectively, related to plasmid DNA and AAV vector production for external customers. No manufacturing revenue was recognized for the three and six months ended June 30, 2022. As of June 30, 2023, we had contract assets of $0.4 million and no remaining performance obligations related to the production of plasmid DNA and AAV vectors for gene therapy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applications for external customers. For the period ended December 31, 2022, we had remaining performance obligations of $1.4 million and no contracts assets related to plasmid DNA and AAV production for external customers.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consist of the costs associated with our research activities, as well as the costs associated with our drug discovery efforts, conducting preclinical studies and clinical trials, manufacturing development efforts and activities related to regulatory filings. Our research and development expenses consist of:</w:t>
      </w:r>
    </w:p>
    <w:p>
      <w:pPr>
        <w:pStyle w:val="TextBody"/>
        <w:bidi w:val="0"/>
        <w:spacing w:before="0" w:after="240"/>
        <w:ind w:left="0" w:right="0" w:hanging="0"/>
        <w:jc w:val="both"/>
        <w:rPr/>
      </w:pPr>
      <w:r>
        <w:rPr/>
        <w:t>●</w:t>
      </w:r>
      <w:r>
        <w:rPr>
          <w:rFonts w:ascii="Times New Roman;Times;serif" w:hAnsi="Times New Roman;Times;serif"/>
          <w:sz w:val="20"/>
        </w:rPr>
        <w:t>external research and development expenses incurred under agreements with third-party contract research organizations and investigative sites, third-party manufacturing organizations and consultants;</w:t>
      </w:r>
    </w:p>
    <w:p>
      <w:pPr>
        <w:pStyle w:val="TextBody"/>
        <w:bidi w:val="0"/>
        <w:spacing w:before="0" w:after="240"/>
        <w:ind w:left="0" w:right="0" w:hanging="0"/>
        <w:jc w:val="both"/>
        <w:rPr/>
      </w:pPr>
      <w:r>
        <w:rPr/>
        <w:t>●</w:t>
      </w:r>
      <w:r>
        <w:rPr>
          <w:rFonts w:ascii="Times New Roman;Times;serif" w:hAnsi="Times New Roman;Times;serif"/>
          <w:sz w:val="20"/>
        </w:rPr>
        <w:t>employee-related expenses, which include salaries and benefits, including share-based compensation, for the personnel involved in our drug discovery and development activities; and</w:t>
      </w:r>
    </w:p>
    <w:p>
      <w:pPr>
        <w:pStyle w:val="TextBody"/>
        <w:bidi w:val="0"/>
        <w:ind w:left="0" w:right="0" w:hanging="0"/>
        <w:jc w:val="both"/>
        <w:rPr/>
      </w:pPr>
      <w:r>
        <w:rPr/>
        <w:t>●</w:t>
      </w:r>
      <w:r>
        <w:rPr>
          <w:rFonts w:ascii="Times New Roman;Times;serif" w:hAnsi="Times New Roman;Times;serif"/>
          <w:sz w:val="20"/>
        </w:rPr>
        <w:t>facilities, depreciation and other allocated expenses, which include direct and allocated expenses for rent and maintenance of facilities, IT, human resources and other support functions, depreciation of leasehold improvements and equipment, and laboratory and other supplies.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use our employee and infrastructure resources across multiple research projects, including our drug development programs. We track expenses related to our clinical programs and certain preclinical programs on a per project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our research and development expenses to fluctuate in connection with our ongoing activities, particularly in connection with Study 041 and other studies for Translarna for the treatment of nmDMD, our activities under our splicing, metabolic, Bio-e and oncology programs and performance of our post-marketing requirements imposed by regulatory agencies with respect to our products. The timing and amount of these expenses will depend upon the outcome of our ongoing clinical trials and the costs associated with our planned clinical trials. The timing and amount of these expenses will also depend on the costs associated with potential future clinical trials of our products or product candidates and the related expansion of our research and development organization, regulatory requirements, advancement of our preclinical programs, and product and product candidate manufacturing costs.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provides research and development expense for our most advanced principal product development programs, for the three and six months ended June 30, 2023 and 2022. </w:t>
      </w:r>
    </w:p>
    <w:p>
      <w:pPr>
        <w:pStyle w:val="TextBody"/>
        <w:bidi w:val="0"/>
        <w:spacing w:before="0" w:after="240"/>
        <w:ind w:left="0" w:right="0" w:hanging="0"/>
        <w:jc w:val="both"/>
        <w:rPr/>
      </w:pPr>
      <w:r>
        <w:rPr/>
        <w:t>​</w:t>
      </w:r>
    </w:p>
    <w:tbl>
      <w:tblPr>
        <w:tblW w:w="5506" w:type="dxa"/>
        <w:jc w:val="left"/>
        <w:tblInd w:w="0" w:type="dxa"/>
        <w:tblLayout w:type="fixed"/>
        <w:tblCellMar>
          <w:top w:w="0" w:type="dxa"/>
          <w:left w:w="0" w:type="dxa"/>
          <w:bottom w:w="0" w:type="dxa"/>
          <w:right w:w="0" w:type="dxa"/>
        </w:tblCellMar>
      </w:tblPr>
      <w:tblGrid>
        <w:gridCol w:w="2716"/>
        <w:gridCol w:w="326"/>
        <w:gridCol w:w="211"/>
        <w:gridCol w:w="781"/>
        <w:gridCol w:w="326"/>
        <w:gridCol w:w="211"/>
        <w:gridCol w:w="781"/>
        <w:gridCol w:w="154"/>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724660" cy="175260"/>
                      <wp:effectExtent l="0" t="0" r="0" b="0"/>
                      <wp:wrapNone/>
                      <wp:docPr id="463" name="Frame463"/>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3985" cy="175260"/>
                      <wp:effectExtent l="0" t="0" r="0" b="0"/>
                      <wp:wrapNone/>
                      <wp:docPr id="465"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95935" cy="175260"/>
                      <wp:effectExtent l="0" t="0" r="0" b="0"/>
                      <wp:wrapNone/>
                      <wp:docPr id="466" name="Frame4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3985" cy="175260"/>
                      <wp:effectExtent l="0" t="0" r="0" b="0"/>
                      <wp:wrapNone/>
                      <wp:docPr id="468"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95935" cy="175260"/>
                      <wp:effectExtent l="0" t="0" r="0" b="0"/>
                      <wp:wrapNone/>
                      <wp:docPr id="469" name="Frame4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97790" cy="175260"/>
                      <wp:effectExtent l="0" t="0" r="0" b="0"/>
                      <wp:wrapNone/>
                      <wp:docPr id="470" name="Frame47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550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DMD Franchise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Metabolic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 Therapy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12,880</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Oncology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Splicing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18,355</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Emvododstat for COVID-19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Discovery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27,739</w:t>
            </w:r>
          </w:p>
        </w:tc>
        <w:tc>
          <w:tcPr>
            <w:tcW w:w="154" w:type="dxa"/>
            <w:tcBorders/>
            <w:vAlign w:val="center"/>
          </w:tcPr>
          <w:p>
            <w:pPr>
              <w:pStyle w:val="TableContents"/>
              <w:bidi w:val="0"/>
              <w:spacing w:before="0" w:after="0"/>
              <w:ind w:left="0" w:right="0" w:hanging="0"/>
              <w:jc w:val="left"/>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157,263</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469" w:type="dxa"/>
        <w:jc w:val="left"/>
        <w:tblInd w:w="0" w:type="dxa"/>
        <w:tblLayout w:type="fixed"/>
        <w:tblCellMar>
          <w:top w:w="0" w:type="dxa"/>
          <w:left w:w="0" w:type="dxa"/>
          <w:bottom w:w="0" w:type="dxa"/>
          <w:right w:w="0" w:type="dxa"/>
        </w:tblCellMar>
      </w:tblPr>
      <w:tblGrid>
        <w:gridCol w:w="2716"/>
        <w:gridCol w:w="326"/>
        <w:gridCol w:w="211"/>
        <w:gridCol w:w="781"/>
        <w:gridCol w:w="326"/>
        <w:gridCol w:w="211"/>
        <w:gridCol w:w="898"/>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724660" cy="175260"/>
                      <wp:effectExtent l="0" t="0" r="0" b="0"/>
                      <wp:wrapNone/>
                      <wp:docPr id="471" name="Frame471"/>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95935" cy="175260"/>
                      <wp:effectExtent l="0" t="0" r="0" b="0"/>
                      <wp:wrapNone/>
                      <wp:docPr id="474" name="Frame4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3985" cy="175260"/>
                      <wp:effectExtent l="0" t="0" r="0" b="0"/>
                      <wp:wrapNone/>
                      <wp:docPr id="476" name="Frame4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70230" cy="175260"/>
                      <wp:effectExtent l="0" t="0" r="0" b="0"/>
                      <wp:wrapNone/>
                      <wp:docPr id="477" name="Frame47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46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DMD Franchise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34,692</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Metabolic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30,974</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 Therapy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91,547</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Bio-e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27,612</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Oncology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15,199</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Splicing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33,076</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Emvododstat for COVID-19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9,831</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Discovery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54,410</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380,998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297,341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successful development of our products and product candidates is highly uncertain. This is due to the numerous risks and uncertainties associated with developing drugs, including the uncertainty of:</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expense of our clinical trials and other research and development activities;</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products and product candidates over other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market, commercialize and achieve market acceptance for any of our products or product candidates that we are developing or may develop in the future, including our ability to negotiate pricing and reimbursement terms acceptable to us;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results;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regulatory approvals; and</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patent claims and other intellectual property rights.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our products or product candidates could mean a significant change in the costs and timing associated with the development of that product or product candidate. For example, if the EMA or FDA or other regulatory authority were to require us to conduct clinical trials beyond those which we currently anticipate will be required for the completion of clinical development of any of our products or product candidates or if we experience significant delays in enrollment in any of our clinical trials, we could be required to expend significant additional financial resources and time on the completion of clinical development. In addition, the uncertainty with respect to the duration, nature and extent of negative impacts of the COVID-19 pandemic and responsive measures relating thereto on our ability to successfully enroll our current and future clinical trials, has caused us to experience delays, and may cause us to experience further delays, in our clinical trials and regulatory submissions.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consist primarily of salaries and other related costs for personnel, including share-based compensation expenses, in our executive, legal, business development, commercial, finance, accounting, information technology and human resource functions. Other selling, general and administrative expenses include facility-related costs not otherwise included in research and development expense; advertising and promotional expenses; costs associated with industry and trade shows; and professional fees for legal services, including patent-related expenses, accounting services and miscellaneous selling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selling, general and administrative expenses will increase in future periods in connection with our continued efforts to commercialize our products, including increased payroll, expanded infrastructure, commercial operations, increased consulting, legal, accounting and investor relations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net consists of interest expense from the liability for the sale of future royalties related to the Royalty Purchase Agreement, the 2026 Convertible Notes outstanding, the $150.0 million aggregate principal amount of 3.00% convertible senior notes due 2022 outstanding, the Blackstone Credit Agreement, offset by interest income earned on investments.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financial statements, which we have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three and six months ended June 30, 2023, there were no material changes to our critical accounting policies as reported in our 2022 Annual Report.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2023 compared to three months ended June 30,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revenues and selected expense and other income data for the three months ended June 30, 2023 and 2022.</w:t>
      </w:r>
    </w:p>
    <w:tbl>
      <w:tblPr>
        <w:tblW w:w="10205" w:type="dxa"/>
        <w:jc w:val="left"/>
        <w:tblInd w:w="0" w:type="dxa"/>
        <w:tblLayout w:type="fixed"/>
        <w:tblCellMar>
          <w:top w:w="0" w:type="dxa"/>
          <w:left w:w="0" w:type="dxa"/>
          <w:bottom w:w="0" w:type="dxa"/>
          <w:right w:w="0" w:type="dxa"/>
        </w:tblCellMar>
      </w:tblPr>
      <w:tblGrid>
        <w:gridCol w:w="5954"/>
        <w:gridCol w:w="326"/>
        <w:gridCol w:w="211"/>
        <w:gridCol w:w="899"/>
        <w:gridCol w:w="326"/>
        <w:gridCol w:w="211"/>
        <w:gridCol w:w="795"/>
        <w:gridCol w:w="326"/>
        <w:gridCol w:w="211"/>
        <w:gridCol w:w="946"/>
      </w:tblGrid>
      <w:tr>
        <w:trPr/>
        <w:tc>
          <w:tcPr>
            <w:tcW w:w="5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780790" cy="175260"/>
                      <wp:effectExtent l="0" t="0" r="0" b="0"/>
                      <wp:wrapNone/>
                      <wp:docPr id="478" name="Frame478"/>
                      <a:graphic xmlns:a="http://schemas.openxmlformats.org/drawingml/2006/main">
                        <a:graphicData uri="http://schemas.microsoft.com/office/word/2010/wordprocessingShape">
                          <wps:wsp>
                            <wps:cNvSpPr txBox="1"/>
                            <wps:spPr>
                              <a:xfrm>
                                <a:off x="0" y="0"/>
                                <a:ext cx="3780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80"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570865" cy="175260"/>
                      <wp:effectExtent l="0" t="0" r="0" b="0"/>
                      <wp:wrapNone/>
                      <wp:docPr id="481" name="Frame48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83"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04825" cy="175260"/>
                      <wp:effectExtent l="0" t="0" r="0" b="0"/>
                      <wp:wrapNone/>
                      <wp:docPr id="484" name="Frame484"/>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3985" cy="175260"/>
                      <wp:effectExtent l="0" t="0" r="0" b="0"/>
                      <wp:wrapNone/>
                      <wp:docPr id="486"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00710" cy="175260"/>
                      <wp:effectExtent l="0" t="0" r="0" b="0"/>
                      <wp:wrapNone/>
                      <wp:docPr id="487" name="Frame48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r>
      <w:tr>
        <w:trPr/>
        <w:tc>
          <w:tcPr>
            <w:tcW w:w="595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95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vs. 2022</w:t>
            </w:r>
          </w:p>
        </w:tc>
      </w:tr>
      <w:tr>
        <w:trPr/>
        <w:tc>
          <w:tcPr>
            <w:tcW w:w="5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product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30,891</w:t>
            </w:r>
          </w:p>
        </w:tc>
      </w:tr>
      <w:tr>
        <w:trPr/>
        <w:tc>
          <w:tcPr>
            <w:tcW w:w="5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Royalty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15,028</w:t>
            </w:r>
          </w:p>
        </w:tc>
      </w:tr>
      <w:tr>
        <w:trPr/>
        <w:tc>
          <w:tcPr>
            <w:tcW w:w="5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w:t>
            </w:r>
          </w:p>
        </w:tc>
      </w:tr>
      <w:tr>
        <w:trPr/>
        <w:tc>
          <w:tcPr>
            <w:tcW w:w="5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 excluding amortization of acquired intangible asset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w:t>
            </w:r>
          </w:p>
        </w:tc>
      </w:tr>
      <w:tr>
        <w:trPr/>
        <w:tc>
          <w:tcPr>
            <w:tcW w:w="5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21,103</w:t>
            </w:r>
          </w:p>
        </w:tc>
      </w:tr>
      <w:tr>
        <w:trPr/>
        <w:tc>
          <w:tcPr>
            <w:tcW w:w="5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185,874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157,263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28,611</w:t>
            </w:r>
          </w:p>
        </w:tc>
      </w:tr>
      <w:tr>
        <w:trPr/>
        <w:tc>
          <w:tcPr>
            <w:tcW w:w="5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8,557</w:t>
            </w:r>
          </w:p>
        </w:tc>
      </w:tr>
      <w:tr>
        <w:trPr/>
        <w:tc>
          <w:tcPr>
            <w:tcW w:w="5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the fair value of contingent consideration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(113,700)</w:t>
            </w:r>
          </w:p>
        </w:tc>
      </w:tr>
      <w:tr>
        <w:trPr/>
        <w:tc>
          <w:tcPr>
            <w:tcW w:w="5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217,800</w:t>
            </w:r>
          </w:p>
        </w:tc>
      </w:tr>
      <w:tr>
        <w:trPr/>
        <w:tc>
          <w:tcPr>
            <w:tcW w:w="5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(7,439)</w:t>
            </w:r>
          </w:p>
        </w:tc>
      </w:tr>
      <w:tr>
        <w:trPr/>
        <w:tc>
          <w:tcPr>
            <w:tcW w:w="59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35,836</w:t>
            </w:r>
          </w:p>
        </w:tc>
      </w:tr>
      <w:tr>
        <w:trPr/>
        <w:tc>
          <w:tcPr>
            <w:tcW w:w="59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38,596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41,988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bookmarkStart w:id="1746" w:name="_Hlk65826948"/>
      <w:bookmarkEnd w:id="1746"/>
      <w:r>
        <w:rPr>
          <w:rFonts w:ascii="Times New Roman;Times;serif" w:hAnsi="Times New Roman;Times;serif"/>
          <w:i/>
          <w:sz w:val="20"/>
        </w:rPr>
        <w:t>Net product revenues.</w:t>
      </w:r>
      <w:r>
        <w:rPr>
          <w:rFonts w:ascii="Times New Roman;Times;serif" w:hAnsi="Times New Roman;Times;serif"/>
          <w:sz w:val="20"/>
        </w:rPr>
        <w:t xml:space="preserve"> Net product revenues were $174.6 million for the three months ended June 30, 2023, an increase of $30.9 million, or 21%, from $143.7 million for the three months ended June 30, 2022. The increase in net product revenue was primarily due to an increase in net product sales of Translarna and Emflaza. Translarna net product revenues were $96.5 million for the three months ended June 30, 2023, an increase of $19.5 million, or 25%, compared to $77.0 million for the three months ended June 30, 2022. These results were driven by treatment of new patients and continued geographic expansion. Emflaza net product revenues were $65.7 million for the three months ended June 30, 2023, an increase of $8.9 million, or 16%, compared to $56.8 million for the three months ended June 30, 2022. These results reflect new patients and high compliance.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Royalty revenue. </w:t>
      </w:r>
      <w:r>
        <w:rPr>
          <w:rFonts w:ascii="Times New Roman;Times;serif" w:hAnsi="Times New Roman;Times;serif"/>
          <w:sz w:val="20"/>
        </w:rPr>
        <w:t xml:space="preserve">Royalty revenue was $36.9 million for the three months ended June 30, 2023, an increase of $15.0 million, or 69%, from $21.8 million for the three months ended June 30, 2022. The increase in royalty revenue was due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higher Evrysdi sales in the three months ended June 30, 2023 as compared to the three months ended June 30, 2022. In accordance with the SMA License Agreement, we are entitled to royalties on worldwide annual net sales of the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Manufacturing revenue.</w:t>
      </w:r>
      <w:r>
        <w:rPr>
          <w:rFonts w:ascii="Times New Roman;Times;serif" w:hAnsi="Times New Roman;Times;serif"/>
          <w:sz w:val="20"/>
        </w:rPr>
        <w:t xml:space="preserve"> Manufacturing revenues were $2.4 million for the three months ended June 30, 2023  an increase of $2.4 million, or 100%, from $0.0 million for the three months ended June 30, 2022. The increase is due to the manufacturing services related to the production of plasmid DNA and AAV vectors for gene therapy applications for external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Cost of product sales, excluding amortization of acquired intangible asset</w:t>
      </w:r>
      <w:r>
        <w:rPr>
          <w:rFonts w:ascii="Times New Roman;Times;serif" w:hAnsi="Times New Roman;Times;serif"/>
          <w:sz w:val="20"/>
        </w:rPr>
        <w:t>. Cost of product sales, excluding amortization of acquired intangible asset, were $12.7 million for the three months ended June 30, 2023, an increase of $3.1 million, or 32%, from $9.6 million for the three months ended June 30, 2022. Cost of product sales consist primarily of royalty payments associated with Emflaza, Translarna, and Upstaza net product sales, excluding contingent payments to Marathon Pharmaceuticals, LLC (now known as Complete Pharma Holdings, LLC), or Marathon, costs associated with Emflaza, Translarna, and Upstaza products sold during the period, and royalty expense related to royalty revenues and collaboration milestone revenues. The increase in cost of product sales, excluding amortization of acquired intangible asset, is primarily due to the increase in net product revenue and royalty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Amortization of acquired intangible asset</w:t>
      </w:r>
      <w:r>
        <w:rPr>
          <w:rFonts w:ascii="Times New Roman;Times;serif" w:hAnsi="Times New Roman;Times;serif"/>
          <w:sz w:val="20"/>
        </w:rPr>
        <w:t>. Amortization of our intangible assets was $47.4 million for the three months ended June 30, 2023, an increase of $21.1 million, or 80%, from $26.3 million for the three months ended June 30, 2022. These amounts are related to the Emflaza rights acquisition, as well as the Waylivra, Tegsedi, and Upstaza intangible assets, which are all being amortized on a straight-line basis over their estimated useful lives. The amortization increase is primarily related to additional Marathon contingent payments for Emflaza.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 was $185.9 million for the three months ended June 30, 2023, an increase of $28.6 million, or 18%, from $157.3 million for the three months ended June 30, 2022. The increase in research and development expenses is primarily related to the advancement of the clinical pipeline. The increase also includes restructuring costs from a reduction in workforce in connection with our strategic pipeline prioritization and discontinuation of our preclinical and early research programs in our gene therapy platform in the three months ended June 30,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Selling, general and administrative expense.</w:t>
      </w:r>
      <w:r>
        <w:rPr>
          <w:rFonts w:ascii="Times New Roman;Times;serif" w:hAnsi="Times New Roman;Times;serif"/>
          <w:sz w:val="20"/>
        </w:rPr>
        <w:t xml:space="preserve"> Selling, general and administrative expense was $88.4 million for the three months ended June 30, 2023, an increase of $8.6 million, or 11%, from $79.9 million for the three months ended June 30, 2022.</w:t>
      </w:r>
      <w:r>
        <w:rPr>
          <w:rFonts w:ascii="Times New Roman;Times;serif" w:hAnsi="Times New Roman;Times;serif"/>
          <w:sz w:val="20"/>
          <w:shd w:fill="FFFFFF" w:val="clear"/>
        </w:rPr>
        <w:t xml:space="preserve"> </w:t>
      </w:r>
      <w:r>
        <w:rPr>
          <w:rFonts w:ascii="Times New Roman;Times;serif" w:hAnsi="Times New Roman;Times;serif"/>
          <w:sz w:val="20"/>
        </w:rPr>
        <w:t>The increase reflects our continued investment to support our commercial activities including our expanding commercial portfolio. The increase also includes restructuring costs from a reduction in workforce in connection with our strategic pipeline prioritization and discontinuation of our preclinical and early research programs in our gene therapy platform in the three months ended June 30, 2023.</w:t>
      </w:r>
    </w:p>
    <w:p>
      <w:pPr>
        <w:pStyle w:val="TextBody"/>
        <w:bidi w:val="0"/>
        <w:spacing w:before="0" w:after="240"/>
        <w:ind w:left="0" w:right="0" w:hanging="0"/>
        <w:jc w:val="both"/>
        <w:rPr>
          <w:rFonts w:ascii="Times New Roman;Times;serif" w:hAnsi="Times New Roman;Times;serif"/>
          <w:sz w:val="20"/>
        </w:rPr>
      </w:pPr>
      <w:bookmarkStart w:id="1747" w:name="_Hlk102393066"/>
      <w:bookmarkEnd w:id="1747"/>
      <w:r>
        <w:rPr>
          <w:rFonts w:ascii="Times New Roman;Times;serif" w:hAnsi="Times New Roman;Times;serif"/>
          <w:i/>
          <w:sz w:val="20"/>
        </w:rPr>
        <w:t xml:space="preserve">Change in the fair value of contingent consideration. </w:t>
      </w:r>
      <w:r>
        <w:rPr>
          <w:rFonts w:ascii="Times New Roman;Times;serif" w:hAnsi="Times New Roman;Times;serif"/>
          <w:sz w:val="20"/>
        </w:rPr>
        <w:t>The change in the fair value of contingent consideration was a gain of $128.9 million for the three months ended June 30, 2023, an increase of $113.7 million, or over 100%, from a gain of $15.2 million for the three months ended June 30, 2022. The change is primarily related to our strategic portfolio prioritization and decision to discontinue our preclinical and early research programs in our gene therapy platform, which included Friedreich ataxia and Angelman syndrome, which was announced in May 2023. As a result, we fully impaired the Friedreich ataxia and Angelman syndrome intangible assets and determined that the fair value for all of the contingent consideration payable related to Friedreich ataxia and Angelman syndrome was $0. As a result, we recorded a fair value change of $129.8 million for the contingent consideration related to Friedreich ataxia and Angelman syndrome.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Intangible asset impairment. </w:t>
      </w:r>
      <w:r>
        <w:rPr>
          <w:rFonts w:ascii="Times New Roman;Times;serif" w:hAnsi="Times New Roman;Times;serif"/>
          <w:sz w:val="20"/>
        </w:rPr>
        <w:t>Intangible asset impairment was $217.8 million for the three months ended June 30, 2023, an increase of $217.8 million, or 100%, from intangible asset impairment of $0.0 million for the three months ended June 30, 2022. The change is due to our strategic portfolio prioritization and decision to discontinue our preclinical and early research programs in our gene therapy platform, which included Friedreich ataxia and Angelman syndrome, which was announced in May 2023. As a result, we fully impaired the Friedreich ataxia and Angelman syndrome intangible assets and recorded impairment expense of $217.8 million during the three months ended June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Interest expense, net. </w:t>
      </w:r>
      <w:r>
        <w:rPr>
          <w:rFonts w:ascii="Times New Roman;Times;serif" w:hAnsi="Times New Roman;Times;serif"/>
          <w:sz w:val="20"/>
        </w:rPr>
        <w:t>Interest expense, net was $29.4 million for the three months ended June 30, 2023, an increase of $7.4 million, or 34%, from $22.0 million for the three months ended June 30, 2022. The increase in interest expense, net was primarily due to interest expense recorded from the liability for the sale of future royalties related to the Royalty Purchase Agreement and the Blackstone Credit Agreement.</w:t>
      </w:r>
    </w:p>
    <w:p>
      <w:pPr>
        <w:pStyle w:val="TextBody"/>
        <w:bidi w:val="0"/>
        <w:spacing w:before="0" w:after="240"/>
        <w:ind w:left="0" w:right="0" w:hanging="0"/>
        <w:jc w:val="both"/>
        <w:rPr>
          <w:rFonts w:ascii="Times New Roman;Times;serif" w:hAnsi="Times New Roman;Times;serif"/>
          <w:sz w:val="20"/>
        </w:rPr>
      </w:pPr>
      <w:bookmarkStart w:id="1748" w:name="_Hlk140501301"/>
      <w:bookmarkStart w:id="1749" w:name="_Hlk129169286"/>
      <w:bookmarkStart w:id="1750" w:name="_Hlk132630610"/>
      <w:bookmarkEnd w:id="1748"/>
      <w:bookmarkEnd w:id="1749"/>
      <w:bookmarkEnd w:id="1750"/>
      <w:r>
        <w:rPr>
          <w:rFonts w:ascii="Times New Roman;Times;serif" w:hAnsi="Times New Roman;Times;serif"/>
          <w:i/>
          <w:sz w:val="20"/>
        </w:rPr>
        <w:t>Other income (expense), net</w:t>
      </w:r>
      <w:r>
        <w:rPr>
          <w:rFonts w:ascii="Times New Roman;Times;serif" w:hAnsi="Times New Roman;Times;serif"/>
          <w:sz w:val="20"/>
        </w:rPr>
        <w:t>. Other income, net was $1.5 million for the three months ended June 30, 2023, a change of $35.8 million, or over 100%, from other expense, net of $34.4 million for the three months ended June 30, 2022. Other income, net for the three months ended June 30, 2023 was primarily related to realized and unrealized foreign exchange gains, net, of $2.9 million, and unrealized gains of $2.3 million on marketable securities – equity investments, offset by unrealized and realized losses, net, on our equity investments in ClearPoint Neuro, Inc. of $1.9 million and unrealized losses on our convertible debt security in ClearPoint Neuro, Inc. $1.6 million. Other expense, net for the three months ended June 30, 2022, was primarily related to an unrealized foreign exchange loss from the remeasurement of our intercompany loan, offset by unrealized gains on our equity investments and convertible debt security in ClearPoint Neuro, Inc. of $3.4 million and $3.5 million,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Income tax benefit (expense).</w:t>
      </w:r>
      <w:r>
        <w:rPr>
          <w:rFonts w:ascii="Times New Roman;Times;serif" w:hAnsi="Times New Roman;Times;serif"/>
          <w:sz w:val="20"/>
        </w:rPr>
        <w:t xml:space="preserve"> Income tax benefit was $38.6 million for the three months ended June 30, 2023, a change of $42.0 million, or over 100%, compared to income tax expense of $3.4 million for the three months ended June 30, 2022. The change in income tax benefit (expense) is attributable to the deduction provided by IRC Section 250 and the reversal of the deferred tax liability recognized in conjunction with the discontinuation of the gene therapy programs. We also incur income tax expenses in various foreign jurisdictions, and our foreign tax liabilities are largely dependent upon the distribution of pre-tax earnings among these different jurisdictions.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2023 compared to six months ended June 30,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revenues and selected expense and other income data for the six months ended June 30, 2023 and 2022.</w:t>
      </w:r>
    </w:p>
    <w:tbl>
      <w:tblPr>
        <w:tblW w:w="10205" w:type="dxa"/>
        <w:jc w:val="left"/>
        <w:tblInd w:w="0" w:type="dxa"/>
        <w:tblLayout w:type="fixed"/>
        <w:tblCellMar>
          <w:top w:w="0" w:type="dxa"/>
          <w:left w:w="0" w:type="dxa"/>
          <w:bottom w:w="0" w:type="dxa"/>
          <w:right w:w="0" w:type="dxa"/>
        </w:tblCellMar>
      </w:tblPr>
      <w:tblGrid>
        <w:gridCol w:w="5961"/>
        <w:gridCol w:w="326"/>
        <w:gridCol w:w="211"/>
        <w:gridCol w:w="898"/>
        <w:gridCol w:w="326"/>
        <w:gridCol w:w="211"/>
        <w:gridCol w:w="795"/>
        <w:gridCol w:w="326"/>
        <w:gridCol w:w="230"/>
        <w:gridCol w:w="921"/>
      </w:tblGrid>
      <w:tr>
        <w:trPr/>
        <w:tc>
          <w:tcPr>
            <w:tcW w:w="5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3785235" cy="175260"/>
                      <wp:effectExtent l="0" t="0" r="0" b="0"/>
                      <wp:wrapNone/>
                      <wp:docPr id="488" name="Frame488"/>
                      <a:graphic xmlns:a="http://schemas.openxmlformats.org/drawingml/2006/main">
                        <a:graphicData uri="http://schemas.microsoft.com/office/word/2010/wordprocessingShape">
                          <wps:wsp>
                            <wps:cNvSpPr txBox="1"/>
                            <wps:spPr>
                              <a:xfrm>
                                <a:off x="0" y="0"/>
                                <a:ext cx="378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70230" cy="175260"/>
                      <wp:effectExtent l="0" t="0" r="0" b="0"/>
                      <wp:wrapNone/>
                      <wp:docPr id="491" name="Frame49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504825" cy="175260"/>
                      <wp:effectExtent l="0" t="0" r="0" b="0"/>
                      <wp:wrapNone/>
                      <wp:docPr id="494" name="Frame494"/>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46050" cy="175260"/>
                      <wp:effectExtent l="0" t="0" r="0" b="0"/>
                      <wp:wrapNone/>
                      <wp:docPr id="496" name="Frame49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584835" cy="175260"/>
                      <wp:effectExtent l="0" t="0" r="0" b="0"/>
                      <wp:wrapNone/>
                      <wp:docPr id="497" name="Frame497"/>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 vs. 2022</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product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273,534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88,615</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Royalty revenue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40,721</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26,963</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4,351</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 excluding amortization of acquired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7,101</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49,767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37,045</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380,998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297,341</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83,657</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153,162</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22,201</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the fair value of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(99,600)</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 impairment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217,800</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(45,490)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(11,255)</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(46,214)</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57,648</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42,854</w:t>
            </w:r>
          </w:p>
        </w:tc>
      </w:tr>
    </w:tbl>
    <w:p>
      <w:pPr>
        <w:pStyle w:val="TextBody"/>
        <w:bidi w:val="0"/>
        <w:spacing w:before="0" w:after="0"/>
        <w:ind w:left="0" w:right="0" w:hanging="0"/>
        <w:jc w:val="left"/>
        <w:rPr/>
      </w:pPr>
      <w:r>
        <w:rPr/>
        <w: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Net product revenues.</w:t>
      </w:r>
      <w:r>
        <w:rPr>
          <w:rFonts w:ascii="Times New Roman;Times;serif" w:hAnsi="Times New Roman;Times;serif"/>
          <w:sz w:val="20"/>
        </w:rPr>
        <w:t> Net product revenues were $362.1 million for the six months ended June 30, 2023, an increase of $88.6 million, or 32%, from $273.5 million for the six months ended June 30, 2022. The increase in net product revenue was primarily due to an increase in net product sales of Translarna and Emflaza. Translarna net product revenues were $211.6 million for the six months ended June 30, 2023, an increase of $55.4 million, or 35%, compared to $156.2 million for the six months ended June 30, 2022. These results were driven by treatment of new patients and continued geographic expansion. Emflaza net product revenues were $120.3 million for the six months ended June 30, 2023, an increase of $14.9 million, or 14%, compared to $105.4 million for the six months ended June 30, 2022. These results reflect new patients and high compliance.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Collaboration revenues.</w:t>
      </w:r>
      <w:r>
        <w:rPr>
          <w:rFonts w:ascii="Times New Roman;Times;serif" w:hAnsi="Times New Roman;Times;serif"/>
          <w:sz w:val="20"/>
        </w:rPr>
        <w:t> Collaboration revenues was $6.0 thousand for the six months ended June 30, 2023, a decrease of $1.0 thousand, or 14%, from $7.0 thousand for the six months ended June 30, 2022. No milestones were triggered in the six months ended June 30, 2023. The activity for collaboration revenue was immaterial for the six months ended June 30, 2023, and 2022.</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Royalty revenue.</w:t>
      </w:r>
      <w:r>
        <w:rPr>
          <w:rFonts w:ascii="Times New Roman;Times;serif" w:hAnsi="Times New Roman;Times;serif"/>
          <w:sz w:val="20"/>
        </w:rPr>
        <w:t> Royalty revenue was $67.7 million for the six months ended June 30, 2023, an increase of $27.0 million, or 66%, from $40.7 million for the six months ended June 30, 2022. The increase in royalty revenue was due to higher Evrysdi sales in the six months ended June 30, 2023 as compared to the six months ended June 30, 2022. In accordance with the SMA License Agreement, we are entitled to royalties on worldwide annual net sales of the product.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Manufacturing revenue.</w:t>
      </w:r>
      <w:r>
        <w:rPr>
          <w:rFonts w:ascii="Times New Roman;Times;serif" w:hAnsi="Times New Roman;Times;serif"/>
          <w:sz w:val="20"/>
        </w:rPr>
        <w:t xml:space="preserve"> Manufacturing revenues were $4.4 million for the six months ended June 30, 2023, an increase of $4.4 million, or 100%, from $0.0 million for the six months ended June 30, 2022. The increase is due to the manufacturing services related to the production of plasmid DNA and AAV vectors for gene therapy applications for external customers.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Cost of product sales, excluding amortization of acquired intangible asset.</w:t>
      </w:r>
      <w:r>
        <w:rPr>
          <w:rFonts w:ascii="Times New Roman;Times;serif" w:hAnsi="Times New Roman;Times;serif"/>
          <w:sz w:val="20"/>
        </w:rPr>
        <w:t> Cost of product sales, excluding amortization of acquired intangible asset, were $26.9 million for the six months ended June 30, 2023, an increase of $7.1 million, or 36%, from $19.8 million for the six months ended June 30, 2022. Cost of product sales consist primarily of royalty payments associated with Emflaza and Translarna net product sales, excluding contingent payments to Marathon, costs associated with Emflaza and Translarna product sold during the period, and royalty expense related to royalty revenues and collaboration milestone revenues. The increase in cost of product sales, excluding amortization of acquired intangible asset, is primarily due to the increase in net product revenue, royalty revenue, and collaboration milestone revenue.</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Amortization of acquired intangible asset. </w:t>
      </w:r>
      <w:r>
        <w:rPr>
          <w:rFonts w:ascii="Times New Roman;Times;serif" w:hAnsi="Times New Roman;Times;serif"/>
          <w:sz w:val="20"/>
        </w:rPr>
        <w:t>Amortization of our intangible assets was $86.8 million for the six months ended June 30, 2023, an increase of $37.0 million, or 74%, from $49.8 million for the six months ended June 30, 2022. These amounts are related to the Emflaza rights acquisition, as well as the Waylivra, Tegsedi, and Upstaza intangible assets, which are all being amortized on a straight-line basis over their estimated useful lives. The amortization increase is primarily related to additional Marathon contingent payments for Emflaza.</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Research and development expense was $381.0 million for the six months ended June 30, 2023, an increase of $83.7 million, or 28%, from $297.3 million for the six months ended June 30, 2022. The increase in research and development expenses is primarily related to the advancement of the clinical pipeline. The increase in R&amp;D expenses includes the achievement of a $30.0 million success-based development milestone for the completion of enrollment of a Phase 3 clinical trial for sepiapterin for PKU. The increase also includes restructuring costs from a reduction in workforce in connection with our strategic pipeline prioritization and discontinuation of our preclinical and early research programs in our gene therapy platform in the six months ended June 30, 2023.</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Selling, general and administrative expense.</w:t>
      </w:r>
      <w:r>
        <w:rPr>
          <w:rFonts w:ascii="Times New Roman;Times;serif" w:hAnsi="Times New Roman;Times;serif"/>
          <w:sz w:val="20"/>
        </w:rPr>
        <w:t> Selling, general and administrative expense was $175.4 million for the six months ended June 30, 2023, an increase of $22.2 million, or 14%, from $153.2 million for the six months ended June 30, 2022. The increase reflects our continued investment to support our commercial activities including our expanding commercial portfolio. The increase also includes restructuring costs from a reduction in workforce in connection with our strategic pipeline prioritization and discontinuation of our preclinical and early research programs in our gene therapy platform in the six months ended June 30, 2023.</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Change in the fair value of contingent consideration.</w:t>
      </w:r>
      <w:r>
        <w:rPr>
          <w:rFonts w:ascii="Times New Roman;Times;serif" w:hAnsi="Times New Roman;Times;serif"/>
          <w:sz w:val="20"/>
        </w:rPr>
        <w:t> The change in the fair value of contingent consideration was a gain of $126.5 million for the six months ended June 30, 2023, a change of $99.6 million, or over 100%, from a gain of $26.9 million for the six months ended June 30, 2022. The change is primarily related to our strategic portfolio prioritization and decision to discontinue our preclinical and early research programs in our gene therapy platform, which included Friedreich ataxia and Angelman syndrome, which was announced in May 2023. As a result, we fully impaired the Friedreich ataxia and Angelman syndrome intangible assets and determined that the fair value for all of the contingent consideration payable related to Friedreich ataxia and Angelman syndrome was $0. As a result, we recorded a fair value change of $129.8 million for the contingent consideration related to Friedreich ataxia and Angelman syndrome.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Intangible asset impairment. </w:t>
      </w:r>
      <w:r>
        <w:rPr>
          <w:rFonts w:ascii="Times New Roman;Times;serif" w:hAnsi="Times New Roman;Times;serif"/>
          <w:sz w:val="20"/>
        </w:rPr>
        <w:t>Intangible asset impairment was $217.8 million for the six months ended June 30, 2023, an increase of $217.8 million, or 100%, from intangible asset impairment of $0.0 million for the six months ended June 30, 2022. The change is due to our strategic portfolio prioritization and decision to discontinue our preclinical and early research programs in our gene therapy platform, which included Friedreich ataxia and Angelman syndrome, which was announced in May 2023. As a result, we fully impaired the Friedreich ataxia and Angelman syndrome intangible assets and recorded impairment expense of $217.8 million during the six months ended June 30, 2023.</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Interest expense, net.</w:t>
      </w:r>
      <w:r>
        <w:rPr>
          <w:rFonts w:ascii="Times New Roman;Times;serif" w:hAnsi="Times New Roman;Times;serif"/>
          <w:sz w:val="20"/>
        </w:rPr>
        <w:t> Interest expense, net was $56.7 million for the six months ended June 30, 2023, an increase of $11.3 million, or 25%, from $45.5 million for the six months ended June 30, 2022. The increase in interest expense, net was primarily due to interest expense recorded from the liability for the sale of future royalties related to the Royalty Purchase Agreement and the Blackstone Credit Agreement.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Other income (expense), net. </w:t>
      </w:r>
      <w:r>
        <w:rPr>
          <w:rFonts w:ascii="Times New Roman;Times;serif" w:hAnsi="Times New Roman;Times;serif"/>
          <w:sz w:val="20"/>
        </w:rPr>
        <w:t>Other income, net was $11.4 million for the six months ended June 30, 2023, a change of $57.6 million, or over 100%, from other expense of $46.2 million for the six months ended June 30, 2022. Other income, net for the six months ended June 30, 2023 was primarily related to realized and unrealized foreign exchange gains of $11.2 million. The change in other expense, net for the six months ended June 30, 2022, resulted primarily from an unrealized foreign exchange loss from the remeasurement of our intercompany loan, offset by unrealized gains on our equity investments and convertible debt security in ClearPoint Neuro, Inc. of $2.4 million and $2.0 million, respectively.</w:t>
      </w:r>
    </w:p>
    <w:p>
      <w:pPr>
        <w:pStyle w:val="TextBody"/>
        <w:pBdr/>
        <w:shd w:fill="FFFFFF" w:val="clear"/>
        <w:bidi w:val="0"/>
        <w:spacing w:before="0" w:after="0"/>
        <w:ind w:left="0" w:right="0" w:hanging="0"/>
        <w:jc w:val="both"/>
        <w:rPr>
          <w:rFonts w:ascii="Times New Roman;Times;serif" w:hAnsi="Times New Roman;Times;serif"/>
          <w:sz w:val="20"/>
        </w:rPr>
      </w:pPr>
      <w:bookmarkStart w:id="1751" w:name="_Hlk140501316"/>
      <w:bookmarkEnd w:id="1751"/>
      <w:r>
        <w:rPr>
          <w:rFonts w:ascii="Times New Roman;Times;serif" w:hAnsi="Times New Roman;Times;serif"/>
          <w:i/>
          <w:sz w:val="20"/>
        </w:rPr>
        <w:t>Income tax benefit (expense).</w:t>
      </w:r>
      <w:r>
        <w:rPr>
          <w:rFonts w:ascii="Times New Roman;Times;serif" w:hAnsi="Times New Roman;Times;serif"/>
          <w:sz w:val="20"/>
        </w:rPr>
        <w:t> Income tax benefit was $34.6 million for the six months ended June 30, 2023, a change of $42.9 million, or over 100%, compared to income tax expense of $8.2 million for the six months ended June 30, 2022. The change in income tax benefit (expense) is attributable to the deduction provided by IRC Section 250 and the reversal of the deferred tax liability recognized in conjunction with the discontinuation of the gene therapy programs.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inception, we have incurred significant operating losses.</w:t>
      </w:r>
    </w:p>
    <w:p>
      <w:pPr>
        <w:pStyle w:val="TextBody"/>
        <w:bidi w:val="0"/>
        <w:spacing w:before="0" w:after="240"/>
        <w:ind w:left="0" w:right="0" w:hanging="0"/>
        <w:jc w:val="both"/>
        <w:rPr>
          <w:rFonts w:ascii="Times New Roman;Times;serif" w:hAnsi="Times New Roman;Times;serif"/>
          <w:sz w:val="20"/>
        </w:rPr>
      </w:pPr>
      <w:bookmarkStart w:id="1752" w:name="_Hlk109909052"/>
      <w:bookmarkEnd w:id="1752"/>
      <w:r>
        <w:rPr>
          <w:rFonts w:ascii="Times New Roman;Times;serif" w:hAnsi="Times New Roman;Times;serif"/>
          <w:sz w:val="20"/>
        </w:rPr>
        <w:t>As a growing commercial-stage biopharmaceutical company, we are engaging in significant commercialization efforts for our products while also devoting a substantial portion of our efforts on research and development related to our products, product candidates and other programs. To date, our product revenue has been primarily attributable to sales of Translarna for the treatment of nmDMD in territories outside of the United States and from Emflaza for the treatment of DMD in the United States. Our ongoing ability to generate revenue from sales of Translarna for the treatment of nmDMD is dependent upon our ability to maintain our marketing authorizations in Brazil, Russia and in the EEA and secure market access through commercial programs following the conclusion of pricing and reimbursement terms at sustainable levels in the member states of the EEA or through EAP Programs in the EEA and other territories. The marketing authorization requires annual review and renewal by the European Commission following reassessment by the EMA of the benefit-risk balance of the authorization and is subject to the specific obligation to conduct Study 041. Our ability to generate product revenue from Emflaza will largely depend on the coverage and reimbursement levels set by governmental authorities, private health insurers and other third-party payors.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historically financed our operations primarily through the issuance and sale of our common stock in public offerings, our “at the market offering” of our common stock, proceeds from the Royalty Purchase Agreement, the private placements of our preferred stock, collaborations, bank and institutional lender debt, convertible debt financings and grants and clinical trial support from governmental and philanthropic organizations and patient advocacy groups in the disease areas addressed by our product candidates. We expect to continue to incur significant expenses and operating losses for at least the next fiscal year. The net losses we incur may fluctuate significantly from quarter to quarter.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2019, we entered into the Sales Agreement,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See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r>
        <w:rPr>
          <w:rFonts w:ascii="Times New Roman;Times;serif" w:hAnsi="Times New Roman;Times;serif"/>
          <w:sz w:val="20"/>
        </w:rPr>
        <w:t>Item 2. Management’s Discussion and Analysis of Financial Condition and Results of Operations—Corporate Updates—Funding” for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2019, we closed a private offering of $287.5 million aggregate principal amount of 1.50% convertible senior notes due 2026 including the full exercise by the initial purchasers of an option to purchase an additional $37.5 million in aggregate principal amount of the 2026 Convertible Notes. The 2026 Convertible Notes bear cash interest at a rate of 1.50% per year, payable semi-annually on March 15 and September 15 of each year, beginning on March 15, 2020. The 2026 Convertible Notes will mature on September 15, 2026, unless earlier repurchased or converted. We received net proceeds of $279.3 million after deducting the initial purchasers’ discounts and commissions and the offering expenses payable by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July 2020, we entered into the Royalty Purchase Agreement. Pursuant to the Royalty Purchase Agreement, we sold to RPI the Assigned Royalty Payment in consideration for $650.0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2022, we entered into the Blackstone Credit Agreement for fundings of up to $950.0 million consisting of a committed loan facility of $450.0 million and further contemplating the potential for up to $500.0 million of additional financing, to the extent that we request such additional financing and subject to the Lenders’ agreement to provide such additional financing and to mutual agreement on terms.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Blackstone Credit Agreement provides for a senior secured term loan facility funded on the Closing Date in the aggregate principal amount of $300.0 million and a committed delayed draw term loan facility of up to $150.0 million to be funded at our request within 18 months of the Closing Date subject to specified conditions. In addition, the Blackstone Credit Agreement contemplates the potential for further financings by Blackstone, by providing for incremental discretionary uncommitted further financings of up to $500.0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Loans mature on the date that is seven years from the Closing Date. Borrowings under the Blackstone Credit Agreement bear interest at a variable rate equal to, at our option, either an adjusted Term SOFR rate plus seven and a quarter percent (7.25%) or the Base Rate plus six and a quarter percent (6.25%), subject to a floor of one percent (1%) and two percent (2%) with respect to Term SOFR rate and Base Rate (each as defined in the Blackstone Credit Agreement), respectively. Payment of the Loans are subject to certain premiums specified in the Blackstone Credit Agreement, in each case, from the date the applicable Loan is funded.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obligations under the Blackstone Credit Agreement are secured, subject to certain exceptions and specified inclusions, by security interests in certain assets of the Loan Parties, including (1) intellectual property and other assets related to Translarna, Emflaza, Upstaza, sepiapterin and, until certain release conditions are met, vatiquinone, in each case, together with any other forms, formulations, or methods of delivery of any such products, and regardless of trade or brand name, (2) future acquired intellectual property (but not internally developed intellectual property unrelated to other intellectual property collateral) and other related assets, and (3) the equity interests held by the Loan Parties in certain of their subsidiaries. The Blackstone Credit Agreement contains certain negative covenants with which we must remain in compliance. The Blackstone Credit Agreement also requires that we maintain consolidated liquidity of at least $100.0 million as of the last day of each fiscal quarter, which shall be increased to $200.0 million upon our consummating acquisitions meeting certain consolidated thresholds described therein. In addition, we will be required under conditions specified in the Blackstone Credit Agreement to fund a reserve account up to certain amounts specified therein, including $50.0 million that we funded into the reserve account during the quarter ended March 31, 2023 and was released back to us during the quarter ended June 30, 2023. The funds in the reserve account are available to prepay the Loans at any time at our option, and are, if funded, subject to release upon certain further conditions. Upon any such release, such funds are freely available for our use subject to the generally applicable terms and conditions of the Blackstone Credit Agreement. The Blackstone Credit Agreement contains certain customary representations and warranties, affirmative covenants and provisions relating to events of default.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2023, we had cash, cash equivalents and marketable securities of $337.9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regarding our cash flows and our capital expenditures for the periods indicated.</w:t>
      </w:r>
    </w:p>
    <w:p>
      <w:pPr>
        <w:pStyle w:val="TextBody"/>
        <w:bidi w:val="0"/>
        <w:spacing w:before="0" w:after="240"/>
        <w:ind w:left="0" w:right="0" w:hanging="0"/>
        <w:jc w:val="both"/>
        <w:rPr>
          <w:shd w:fill="00FF00" w:val="clear"/>
        </w:rPr>
      </w:pPr>
      <w:r>
        <w:rPr>
          <w:shd w:fill="00FF00" w:val="clear"/>
        </w:rPr>
        <w:t>​</w:t>
      </w:r>
    </w:p>
    <w:tbl>
      <w:tblPr>
        <w:tblW w:w="4874" w:type="dxa"/>
        <w:jc w:val="left"/>
        <w:tblInd w:w="0" w:type="dxa"/>
        <w:tblLayout w:type="fixed"/>
        <w:tblCellMar>
          <w:top w:w="0" w:type="dxa"/>
          <w:left w:w="0" w:type="dxa"/>
          <w:bottom w:w="0" w:type="dxa"/>
          <w:right w:w="0" w:type="dxa"/>
        </w:tblCellMar>
      </w:tblPr>
      <w:tblGrid>
        <w:gridCol w:w="2371"/>
        <w:gridCol w:w="326"/>
        <w:gridCol w:w="796"/>
        <w:gridCol w:w="326"/>
        <w:gridCol w:w="901"/>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505585" cy="175260"/>
                      <wp:effectExtent l="0" t="0" r="0" b="0"/>
                      <wp:wrapNone/>
                      <wp:docPr id="498" name="Frame498"/>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05460" cy="175260"/>
                      <wp:effectExtent l="0" t="0" r="0" b="0"/>
                      <wp:wrapNone/>
                      <wp:docPr id="500" name="Frame50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572135" cy="175260"/>
                      <wp:effectExtent l="0" t="0" r="0" b="0"/>
                      <wp:wrapNone/>
                      <wp:docPr id="502" name="Frame50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97790" cy="175260"/>
                      <wp:effectExtent l="0" t="0" r="0" b="0"/>
                      <wp:wrapNone/>
                      <wp:docPr id="503" name="Frame5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provided by:</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(43,611)</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(152,646)</w:t>
            </w:r>
          </w:p>
        </w:tc>
        <w:tc>
          <w:tcPr>
            <w:tcW w:w="154" w:type="dxa"/>
            <w:tcBorders/>
            <w:vAlign w:val="center"/>
          </w:tcPr>
          <w:p>
            <w:pPr>
              <w:pStyle w:val="TableContents"/>
              <w:bidi w:val="0"/>
              <w:spacing w:before="0" w:after="0"/>
              <w:ind w:left="0" w:right="0" w:hanging="0"/>
              <w:jc w:val="left"/>
              <w:rPr/>
            </w:pPr>
            <w:r>
              <w:rPr/>
              <w:t>​</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(52,723)</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121,297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22,554</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was $43.6 million for the six months ended June 30, 2023 and $152.6 million for the six months ended June 30, 2022. The net cash used in operating activities primarily relates to supporting clinical development and commercial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investing activities was $52.7 million for the six months ended June 30, 2023 and net cash provided by investing activities was $121.3 million for the six months ended June 30, 2022. Cash used in investing activities for the six months ended June 30, 2023 was primarily related to the acquisition of product rights, purchases of marketable securities-equity investments, and </w:t>
      </w:r>
      <w:r>
        <w:rPr>
          <w:rFonts w:ascii="Times New Roman;Times;serif" w:hAnsi="Times New Roman;Times;serif"/>
          <w:sz w:val="20"/>
          <w:shd w:fill="FFFFFF" w:val="clear"/>
        </w:rPr>
        <w:t>purchases of fixed assets</w:t>
      </w:r>
      <w:r>
        <w:rPr>
          <w:rFonts w:ascii="Times New Roman;Times;serif" w:hAnsi="Times New Roman;Times;serif"/>
          <w:sz w:val="20"/>
        </w:rPr>
        <w:t xml:space="preserve">, partially offset by </w:t>
      </w:r>
      <w:r>
        <w:rPr>
          <w:rFonts w:ascii="Times New Roman;Times;serif" w:hAnsi="Times New Roman;Times;serif"/>
          <w:sz w:val="20"/>
          <w:shd w:fill="FFFFFF" w:val="clear"/>
        </w:rPr>
        <w:t>net sales and redemption of marketable securities</w:t>
      </w:r>
      <w:r>
        <w:rPr>
          <w:rFonts w:ascii="Times New Roman;Times;serif" w:hAnsi="Times New Roman;Times;serif"/>
          <w:sz w:val="20"/>
        </w:rPr>
        <w:t>. Cash provided by investing activities for the six months ended June 30, 2022 was primarily related to net sales and redemption of marketable securities, partially offset by purchases of marketable securities, purchases of fixed assets, and the acquisition of product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provided by financing activities was $22.6 million for the six months ended June 30, 2023 and $5.0 million for the six months ended June 30, 2022. Cash provided by financing activities for the six months ended June 30, 2023 and 2022 </w:t>
      </w:r>
      <w:r>
        <w:rPr>
          <w:rFonts w:ascii="Times New Roman;Times;serif" w:hAnsi="Times New Roman;Times;serif"/>
          <w:sz w:val="20"/>
          <w:shd w:fill="FFFFFF" w:val="clear"/>
        </w:rPr>
        <w:t>were primarily attributable to cash received from the exercise of options, and proceeds from our Employee Stock Purchase Plan, partially offset by payments on our finance lease principal.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and administrative and employee-based expenses. In addition to the foregoing, we expect to continue to incur significant costs in connection with the research and development of our splicing, metabolic, Bio-e and oncology programs as well as studies in our products for maintaining authorizations, including Study 041, label extensions and additional indications. In addition, we may incur substantial costs in connection with our efforts to advance our regulatory submissions. We continue to seek marketing authorization for Translarna for the treatment of nmDMD in territories that we do not currently have marketing authorization in. We are also preparing and anticipate submitting a BLA to the FDA for Upstaza for the treatment of AADC deficiency in the United States in the third quarter of 2023 and expect to submit an NDA to the FDA for sepiapterin for the treatment of PKU in the fourth quarter of 2023 pending FDA feedback from our scheduled pre-NDA meeting. These efforts may significantly impact the timing and extent of our commercialization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our expenses will increase if and as we:</w:t>
      </w:r>
    </w:p>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satisfy contractual and regulatory obligations that we assumed through our acquisitions and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our commercialization strategy for our products, including initial commercialization launches of our products, label extensions or entering new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required to complete any additional clinical trials, non-clinical studies or Chemistry, Manufacturing and Controls, or CMC, assessments or analyses in order to advance Translarna for the treatment of nmDMD in the United States or elsewhere;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required to take other steps, in addition to Study 041, to maintain our current marketing authorization in the EEA, Brazil and Russia for Translarna for the treatment of nmDMD or to obtain further marketing authorizations for Translarna for the treatment of nmDMD or other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the research and development of our splicing, metabolic, Bio-e and oncology programs as well as studies in our products for maintaining authorizations, including Study 041, label extensions and additional indications;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utilize the Hopewell Facility to manufacture program materials for third parties;</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discover and develop additional product candidates;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expand and diversify our product pipeline through strategic transactions;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including personnel to support our product development and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cash flows from product sales, together with existing cash and cash equivalents, including our offering of the 2026 Convertible Notes, public offerings and private placements of common stock, our “at the market offering” of our common stock, proceeds from the Royalty Purchase Agreement, net proceeds from our borrowings under the Blackstone Credit Agreement and marketable securities,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and market our products and product candidates that may receive marketing authorization;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secure and maintain adequate pricing, coverage and reimbursement terms, on a timely basis, with third-party payors for our products and products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marketing authorization for our products, including in the EEA for Translarna for the treatment of nmDMD and whether the EMA determines on an annual basis that the benefit-risk balance of Translarna supports renewal of our marketing authorization in the EEA, on the current approved label;</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Study 041;</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marketing authorization for Upstaza for the treatment of AADC deficiency in the United States;</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marketing authorization for sepiapterin for the treatment of PKU in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our efforts to advance Translarna for the treatment of nmDMD in the United States, including, whether we will be required to perform additional clinical trials, non-clinical studies or CMC assessments or analyses at significant cost which, if successful, may enable FDA review of an NDA re-submission by us and, ultimately, may support approval of Translarna for nmDMD in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decreases in revenue or increase in expenses resulting from the COVID-19 pandemic or other potential widespread outbreaks of contagious disease;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06" w:type="dxa"/>
        <w:jc w:val="left"/>
        <w:tblInd w:w="0" w:type="dxa"/>
        <w:tblLayout w:type="fixed"/>
        <w:tblCellMar>
          <w:top w:w="28" w:type="dxa"/>
          <w:left w:w="28" w:type="dxa"/>
          <w:bottom w:w="28" w:type="dxa"/>
          <w:right w:w="28" w:type="dxa"/>
        </w:tblCellMar>
      </w:tblPr>
      <w:tblGrid>
        <w:gridCol w:w="124"/>
        <w:gridCol w:w="256"/>
        <w:gridCol w:w="6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orphan exclusivity in the United States for Emflaza;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all post-marketing requirements imposed by regulatory agencies with respect to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and results of activities under our splicing, metabolic, Bio-e and oncology programs as well as studies in our products for maintaining authorizations, label extensions and additional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costs and timing of our commercialization activities, including product sales, marketing, legal, regulatory, distribution and manufacturing, for any of our products and for any of our other product candidates that may receive marketing authorization or any additional territories in which we receive authorization to market Translarna;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our splicing, metabolic, Bio-e and oncology programs and Translarna and Upstaza in other territories;</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the Blackstone Credit Agreement;</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our obligations under the indentures governing the 2026 Convertible Notes;</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scope of growth in our employee base;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preclinical development, laboratory testing and clinical trials for our other product candidates, including those in our splicing, metabolic, Bio-e and oncology programs;</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received from commercial sales of our products or any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and maintain existing reimbursed named patient and cohort EAP programs for Translarna for the treatment of nmDMD on adequate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patients and healthcare professionals to access Translarna through alternative means if pricing and reimbursement negotiations in the applicable territory do not have a positive outcome;</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utilize the Hopewell Facility to manufacture program materials for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protecting our intellectual property rights and defending against intellectual property-related claims;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acquisitions of Emflaza, Agilis, our Bio-e platform and Censa and our licensing of Tegsedi and Waylivra;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collaborations, including our collaborations with Roche and the SMA Foundation, and our ability to obtain research funding and achieve milestones under these agreements.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our outstanding 2026 Convertible Notes, cash interest payments are payable on a semi-annual basis in arrears, which will require total funding of $4.3 million annually. Borrowings under the Blackstone Credit Agreement bear interest at a variable rate equal to, at our option, either an adjusted Term SOFR rate plus seven and a quarter percent (7.25%) or the Base Rate plus six and a quarter percent (6.25%), subject to a floor of one percent (1%) and two percent (2%) with respect to Term SOFR rate and Base Rate (each as defined in the Blackstone Credit Agreement),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2023, we completed enrollment of our Phase 3 placebo-controlled clinical trial for sepiapterin for PKU.  In connection with this event and pursuant to the Censa Merger Agreement, we paid a $30.0 million development milestone to the former Censa securityholders. We elected to pay this milestone in the form of shares of our common stock, less certain cash payments in accordance with the Censa Merger Agreement. Pursuant to such election, we issued 657,462 shares of our common stock and paid $0.4 million to the former Censa securityholders. We expect to pay the former equityholders of Agilis $20.0 million in regulatory milestone payments upon the acceptance for filing by the FDA of a BLA for Upstaza for the treatment of AADC deficiency. We expect to submit a BLA for Upstaza to the FDA in the third quarter of 2023. We also expect to make an additional payment to the former Censa securityholders of $25.0 million in cash upon the potential achievement in 2023 of a development and regulatory milestone relating to sepiapterin.</w:t>
      </w:r>
    </w:p>
    <w:p>
      <w:pPr>
        <w:pStyle w:val="TextBody"/>
        <w:bidi w:val="0"/>
        <w:spacing w:before="0" w:after="240"/>
        <w:ind w:left="0" w:right="0" w:hanging="0"/>
        <w:jc w:val="both"/>
        <w:rPr>
          <w:rFonts w:ascii="Times New Roman;Times;serif" w:hAnsi="Times New Roman;Times;serif"/>
          <w:sz w:val="20"/>
        </w:rPr>
      </w:pPr>
      <w:bookmarkStart w:id="1753" w:name="_Hlk109910212"/>
      <w:bookmarkEnd w:id="1753"/>
      <w:r>
        <w:rPr>
          <w:rFonts w:ascii="Times New Roman;Times;serif" w:hAnsi="Times New Roman;Times;serif"/>
          <w:sz w:val="20"/>
        </w:rPr>
        <w:t>We also have certain significant contractual obligations and commercial commitments that require funding and we have disclosed these items under the heading “Management’s Discussion and Analysis of Financial Condition and Results of Operations-Funding Obligations” in our 2022 Annual Report. There were no material changes to these obligations and commitments during the period ended June 30, 2023. Furthermore, since we are a public company, we have incurred and expect to continue to incur additional costs associated with operating as such including significant legal, accounting, investor relations and other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never been profitable and we will need to generate significant revenues to achieve and sustain profitability, and we may never do so. We may need to obtain substantial additional funding in connection with our continuing operations. Until such time, if ever, as we can generate substantial product revenues, we expect to finance our cash needs primarily through a combination of equity offerings, debt financings, collaborations, strategic alliances, grants and clinical trial support from governmental and philanthropic organizations and patient advocacy groups in the disease areas addressed by our product and product candidates and marketing, distribution or licensing arrangements. Adequate additional financing may not be available to us on acceptable terms, or at all. 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to grant licenses on terms that may not be favorable to us.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we are unable to raise additional funds through equity, debt or other financings when needed or on attractive terms, we may be required to delay, limit, reduce or terminate our product development or commercialization efforts or grant rights to develop and market product candidates that we would otherwise prefer to develop and market ourselves.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54" w:name="Item3QuantitativeandQualitativeDisclosur"/>
      <w:bookmarkStart w:id="1755" w:name="_fa4db06c_e944_4996_986d_ca9409ed8710"/>
      <w:bookmarkEnd w:id="1754"/>
      <w:bookmarkEnd w:id="1755"/>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period ended June 30, 2023, there were no material changes in our market risk or how our market risk is managed, compared to those disclosed under the heading “Quantitative and Qualitative Disclosures about Market Risk” in our 2022 Annual Report.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756" w:name="Item4ControlsandProcedures_472098"/>
      <w:bookmarkStart w:id="1757" w:name="_b099906b_43d9_4857_a312_09b8957c7697"/>
      <w:bookmarkEnd w:id="1756"/>
      <w:bookmarkEnd w:id="1757"/>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our Chief Financial Officer, evaluated the effectiveness of our disclosure controls and procedures as of June 30, 2023.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Chief Executive Officer and Chief Financial Officer concluded that, as of such date,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 change in our internal control over financial reporting occurred during the quarter ended June 30, 2023 that has materially affected, or is reasonably likely to materially affect, our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758" w:name="PARTIIOTHERINFORMATION_312536"/>
      <w:bookmarkStart w:id="1759" w:name="_76768f4a_6b15_45bc_96b4_4604e4a25018"/>
      <w:bookmarkEnd w:id="1758"/>
      <w:bookmarkEnd w:id="1759"/>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760" w:name="Item1LegalProceedings_593195"/>
      <w:bookmarkEnd w:id="1760"/>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in the ordinary course of our business, we are subject to claims, legal proceedings and disputes, including as a result of patients seeking to participate in our clinical trials or otherwise gain access to our product candidates. We are not currently aware of any material legal proceedings to which we are a party or of which any of our property is subject.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761" w:name="Item1ARiskFactors_708797"/>
      <w:bookmarkStart w:id="1762" w:name="_219cf296_e670_4a40_b04e_c2c2fe155d0b"/>
      <w:bookmarkEnd w:id="1761"/>
      <w:bookmarkEnd w:id="1762"/>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set forth in Item 1A to our Annual Report on Form 10-K for the year ended December 31, 2022, risk factors relating to our business, our industry, our structure and our common stock. Readers of this Quarterly Report on Form 10-Q are referred to such Item 1A for a more complete understanding of risks concerning us.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1763" w:name="Item5OtherInformation_403682"/>
      <w:bookmarkStart w:id="1764" w:name="_bb7d603d_b0a9_4b85_9d62_b1de04773f4f"/>
      <w:bookmarkEnd w:id="1763"/>
      <w:bookmarkEnd w:id="1764"/>
      <w:r>
        <w:rPr>
          <w:rFonts w:ascii="Times New Roman;Times;serif" w:hAnsi="Times New Roman;Times;serif"/>
          <w:b/>
          <w:sz w:val="20"/>
        </w:rPr>
        <w:t>Item 5. Other Information.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and Officer Trading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portion of the compensation of our directors and officers (as defined in Rule 16a-1(f) under the Securities Exchange Act of 1934, as amended, or the Exchange Act) is in the form of equity awards and, from time to time, directors and officers engage in open-market transactions with respect to the securities acquired pursuant to such equity awards or other Company securities, including to satisfy tax withholding obligations when equity awards vest or are exercised, and for diversification or other personal reasons.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in Company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Company securities in a manner that avoids concerns about initiating transactions while in possession of material nonpublic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describes, for the quarterly period covered by this report, each trading arrangement for the sale or purchase of Company securities adopted or terminated by our directors and officers that is either (1) a contract, instruction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765" w:name="_Hlk130890177"/>
      <w:bookmarkStart w:id="1766" w:name="_Hlk130890624"/>
      <w:bookmarkEnd w:id="1765"/>
      <w:bookmarkEnd w:id="1766"/>
      <w:r>
        <w:rPr>
          <w:rFonts w:ascii="Times New Roman;Times;serif" w:hAnsi="Times New Roman;Times;serif"/>
          <w:sz w:val="20"/>
        </w:rPr>
        <w:t>or written plan intended to satisfy the affirmative defense conditions of Rule 10b5-1(c), or a “Rule 10b5-1 trading arrangement”, or (2) a “non-Rule 10b5-1 trading arrangement” (as defined in Item 408(c) of Regulation S-K):</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57"/>
        <w:gridCol w:w="1483"/>
        <w:gridCol w:w="1980"/>
        <w:gridCol w:w="1546"/>
        <w:gridCol w:w="2335"/>
        <w:gridCol w:w="1704"/>
      </w:tblGrid>
      <w:tr>
        <w:trPr/>
        <w:tc>
          <w:tcPr>
            <w:tcW w:w="1157" w:type="dxa"/>
            <w:tcBorders/>
            <w:vAlign w:val="center"/>
          </w:tcPr>
          <w:p>
            <w:pPr>
              <w:pStyle w:val="TableContents"/>
              <w:bidi w:val="0"/>
              <w:spacing w:before="0" w:after="283"/>
              <w:ind w:left="0" w:right="0" w:hanging="0"/>
              <w:jc w:val="left"/>
              <w:rPr>
                <w:sz w:val="4"/>
                <w:szCs w:val="4"/>
              </w:rPr>
            </w:pPr>
            <w:r>
              <w:rPr>
                <w:sz w:val="4"/>
                <w:szCs w:val="4"/>
              </w:rPr>
            </w:r>
          </w:p>
        </w:tc>
        <w:tc>
          <w:tcPr>
            <w:tcW w:w="1483" w:type="dxa"/>
            <w:tcBorders/>
            <w:vAlign w:val="center"/>
          </w:tcPr>
          <w:p>
            <w:pPr>
              <w:pStyle w:val="TableContents"/>
              <w:bidi w:val="0"/>
              <w:spacing w:before="0" w:after="283"/>
              <w:ind w:left="0" w:right="0" w:hanging="0"/>
              <w:jc w:val="left"/>
              <w:rPr>
                <w:sz w:val="4"/>
                <w:szCs w:val="4"/>
              </w:rPr>
            </w:pPr>
            <w:r>
              <w:rPr>
                <w:sz w:val="4"/>
                <w:szCs w:val="4"/>
              </w:rPr>
            </w:r>
          </w:p>
        </w:tc>
        <w:tc>
          <w:tcPr>
            <w:tcW w:w="1980" w:type="dxa"/>
            <w:tcBorders/>
            <w:vAlign w:val="center"/>
          </w:tcPr>
          <w:p>
            <w:pPr>
              <w:pStyle w:val="TableContents"/>
              <w:bidi w:val="0"/>
              <w:spacing w:before="0" w:after="283"/>
              <w:ind w:left="0" w:right="0" w:hanging="0"/>
              <w:jc w:val="left"/>
              <w:rPr>
                <w:sz w:val="4"/>
                <w:szCs w:val="4"/>
              </w:rPr>
            </w:pPr>
            <w:r>
              <w:rPr>
                <w:sz w:val="4"/>
                <w:szCs w:val="4"/>
              </w:rPr>
            </w:r>
          </w:p>
        </w:tc>
        <w:tc>
          <w:tcPr>
            <w:tcW w:w="1546" w:type="dxa"/>
            <w:tcBorders/>
            <w:vAlign w:val="center"/>
          </w:tcPr>
          <w:p>
            <w:pPr>
              <w:pStyle w:val="TableContents"/>
              <w:bidi w:val="0"/>
              <w:spacing w:before="0" w:after="283"/>
              <w:ind w:left="0" w:right="0" w:hanging="0"/>
              <w:jc w:val="left"/>
              <w:rPr>
                <w:sz w:val="4"/>
                <w:szCs w:val="4"/>
              </w:rPr>
            </w:pPr>
            <w:r>
              <w:rPr>
                <w:sz w:val="4"/>
                <w:szCs w:val="4"/>
              </w:rPr>
            </w:r>
          </w:p>
        </w:tc>
        <w:tc>
          <w:tcPr>
            <w:tcW w:w="2335" w:type="dxa"/>
            <w:tcBorders/>
            <w:vAlign w:val="center"/>
          </w:tcPr>
          <w:p>
            <w:pPr>
              <w:pStyle w:val="TableContents"/>
              <w:bidi w:val="0"/>
              <w:spacing w:before="0" w:after="283"/>
              <w:ind w:left="0" w:right="0" w:hanging="0"/>
              <w:jc w:val="left"/>
              <w:rPr>
                <w:sz w:val="4"/>
                <w:szCs w:val="4"/>
              </w:rPr>
            </w:pPr>
            <w:r>
              <w:rPr>
                <w:sz w:val="4"/>
                <w:szCs w:val="4"/>
              </w:rPr>
            </w:r>
          </w:p>
        </w:tc>
        <w:tc>
          <w:tcPr>
            <w:tcW w:w="1704" w:type="dxa"/>
            <w:tcBorders/>
            <w:vAlign w:val="center"/>
          </w:tcPr>
          <w:p>
            <w:pPr>
              <w:pStyle w:val="TableContents"/>
              <w:bidi w:val="0"/>
              <w:spacing w:before="0" w:after="283"/>
              <w:ind w:left="0" w:right="0" w:hanging="0"/>
              <w:jc w:val="left"/>
              <w:rPr>
                <w:sz w:val="4"/>
                <w:szCs w:val="4"/>
              </w:rPr>
            </w:pPr>
            <w:r>
              <w:rPr>
                <w:sz w:val="4"/>
                <w:szCs w:val="4"/>
              </w:rPr>
            </w:r>
          </w:p>
        </w:tc>
      </w:tr>
      <w:tr>
        <w:trPr/>
        <w:tc>
          <w:tcPr>
            <w:tcW w:w="1157"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br/>
              <w:t>(Title)</w:t>
            </w:r>
          </w:p>
        </w:tc>
        <w:tc>
          <w:tcPr>
            <w:tcW w:w="1483"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Action Taken</w:t>
              <w:br/>
              <w:t>(Date of Action)</w:t>
            </w:r>
          </w:p>
        </w:tc>
        <w:tc>
          <w:tcPr>
            <w:tcW w:w="1980"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Type of Trading</w:t>
              <w:br/>
              <w:t>Arrangement</w:t>
            </w:r>
          </w:p>
        </w:tc>
        <w:tc>
          <w:tcPr>
            <w:tcW w:w="154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Nature of Trading</w:t>
              <w:br/>
              <w:t xml:space="preserve">Arrangement </w:t>
            </w:r>
          </w:p>
        </w:tc>
        <w:tc>
          <w:tcPr>
            <w:tcW w:w="233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Duration of Trading</w:t>
              <w:br/>
              <w:t>Arrangement</w:t>
            </w:r>
          </w:p>
        </w:tc>
        <w:tc>
          <w:tcPr>
            <w:tcW w:w="1704"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Aggregate Number</w:t>
              <w:br/>
              <w:t xml:space="preserve">of Securities </w:t>
            </w:r>
          </w:p>
        </w:tc>
      </w:tr>
      <w:tr>
        <w:trPr/>
        <w:tc>
          <w:tcPr>
            <w:tcW w:w="115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Matthew Klein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48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 (April 14, 2023)</w:t>
            </w:r>
          </w:p>
        </w:tc>
        <w:tc>
          <w:tcPr>
            <w:tcW w:w="198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arrangement</w:t>
            </w:r>
          </w:p>
        </w:tc>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33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70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 </w:t>
            </w:r>
          </w:p>
        </w:tc>
      </w:tr>
      <w:tr>
        <w:trPr/>
        <w:tc>
          <w:tcPr>
            <w:tcW w:w="115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Klein</w:t>
              <w:br/>
              <w:t>(Chief Executive Officer)</w:t>
            </w:r>
          </w:p>
        </w:tc>
        <w:tc>
          <w:tcPr>
            <w:tcW w:w="148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(April 23, 2023)</w:t>
            </w:r>
          </w:p>
        </w:tc>
        <w:tc>
          <w:tcPr>
            <w:tcW w:w="198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 for sell-to-cover transactions for RSUs granted on April 18, 2023</w:t>
            </w:r>
          </w:p>
        </w:tc>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33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Until final settlement of RSUs on or around April 18, 2027 </w:t>
            </w:r>
          </w:p>
        </w:tc>
        <w:tc>
          <w:tcPr>
            <w:tcW w:w="170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Indeterminable (2)</w:t>
            </w:r>
          </w:p>
        </w:tc>
      </w:tr>
      <w:tr>
        <w:trPr/>
        <w:tc>
          <w:tcPr>
            <w:tcW w:w="115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Emily Hill</w:t>
              <w:br/>
              <w:t>(Former Chief Financial Officer)</w:t>
            </w:r>
          </w:p>
        </w:tc>
        <w:tc>
          <w:tcPr>
            <w:tcW w:w="148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br/>
              <w:t>(May 10, 2023)</w:t>
            </w:r>
          </w:p>
        </w:tc>
        <w:tc>
          <w:tcPr>
            <w:tcW w:w="198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 10b5-1 trading arrangement</w:t>
            </w:r>
          </w:p>
        </w:tc>
        <w:tc>
          <w:tcPr>
            <w:tcW w:w="15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w:t>
            </w:r>
          </w:p>
        </w:tc>
        <w:tc>
          <w:tcPr>
            <w:tcW w:w="233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Until May 10, 2024, or such earlier date upon which all transactions are completed.</w:t>
            </w:r>
          </w:p>
        </w:tc>
        <w:tc>
          <w:tcPr>
            <w:tcW w:w="170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162,986 shares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(1) This trading plan related to 65,000</w:t>
      </w:r>
      <w:r>
        <w:rPr>
          <w:rFonts w:ascii="Times New Roman;Times;serif" w:hAnsi="Times New Roman;Times;serif"/>
          <w:sz w:val="24"/>
        </w:rPr>
        <w:t xml:space="preserve"> </w:t>
      </w:r>
      <w:r>
        <w:rPr>
          <w:rFonts w:ascii="Times New Roman;Times;serif" w:hAnsi="Times New Roman;Times;serif"/>
          <w:sz w:val="20"/>
        </w:rPr>
        <w:t xml:space="preserve">shares of Company common stock and had a scheduled expiration date of February 15, 2024.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(2) The number of shares subject to this RSU grant that will be sold to satisfy applicable tax withholding obligations upon vesting is unknown as the number will vary based on the extent to which vesting conditions are satisfied and the market price of the Company’s common stock at the time of settlement.  This trading arrangement provides for the automatic sale of shares that would otherwise be issuable on each settlement date of the RSU in an amount sufficient to satisfy the applicable withholding obligation, with the proceeds of the sale delivered to the Company in satisfaction of the applicable withholding obligation.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67" w:name="Item6Exhibits_210333"/>
      <w:bookmarkStart w:id="1768" w:name="_c9c77099_e273_4fa0_a4d5_389e7abe46e5"/>
      <w:bookmarkEnd w:id="1767"/>
      <w:bookmarkEnd w:id="1768"/>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276"/>
        <w:gridCol w:w="146"/>
        <w:gridCol w:w="8783"/>
      </w:tblGrid>
      <w:tr>
        <w:trPr/>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810260" cy="175260"/>
                      <wp:effectExtent l="0" t="0" r="0" b="0"/>
                      <wp:wrapNone/>
                      <wp:docPr id="504" name="Frame504"/>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92710" cy="175260"/>
                      <wp:effectExtent l="0" t="0" r="0" b="0"/>
                      <wp:wrapNone/>
                      <wp:docPr id="505" name="Frame50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577205" cy="175260"/>
                      <wp:effectExtent l="0" t="0" r="0" b="0"/>
                      <wp:wrapNone/>
                      <wp:docPr id="506" name="Frame506"/>
                      <a:graphic xmlns:a="http://schemas.openxmlformats.org/drawingml/2006/main">
                        <a:graphicData uri="http://schemas.microsoft.com/office/word/2010/wordprocessingShape">
                          <wps:wsp>
                            <wps:cNvSpPr txBox="1"/>
                            <wps:spPr>
                              <a:xfrm>
                                <a:off x="0" y="0"/>
                                <a:ext cx="557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46" w:type="dxa"/>
            <w:tcBorders/>
            <w:vAlign w:val="center"/>
          </w:tcPr>
          <w:p>
            <w:pPr>
              <w:pStyle w:val="TableContents"/>
              <w:bidi w:val="0"/>
              <w:spacing w:before="0" w:after="0"/>
              <w:ind w:left="0" w:right="0" w:hanging="0"/>
              <w:jc w:val="center"/>
              <w:rPr/>
            </w:pPr>
            <w:r>
              <w:rPr/>
              <w:t> </w:t>
            </w:r>
          </w:p>
        </w:tc>
        <w:tc>
          <w:tcPr>
            <w:tcW w:w="878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w:t>
            </w:r>
          </w:p>
        </w:tc>
      </w:tr>
      <w:tr>
        <w:trPr/>
        <w:tc>
          <w:tcPr>
            <w:tcW w:w="127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8783" w:type="dxa"/>
            <w:tcBorders/>
            <w:vAlign w:val="center"/>
          </w:tcPr>
          <w:p>
            <w:pPr>
              <w:pStyle w:val="TableContents"/>
              <w:bidi w:val="0"/>
              <w:spacing w:before="0" w:after="0"/>
              <w:ind w:left="0" w:right="0" w:hanging="0"/>
              <w:jc w:val="center"/>
              <w:rPr/>
            </w:pPr>
            <w:r>
              <w:rPr/>
              <w: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46" w:type="dxa"/>
            <w:tcBorders/>
            <w:vAlign w:val="center"/>
          </w:tcPr>
          <w:p>
            <w:pPr>
              <w:pStyle w:val="TableContents"/>
              <w:bidi w:val="0"/>
              <w:spacing w:before="0" w:after="0"/>
              <w:ind w:left="0" w:right="0" w:hanging="0"/>
              <w:jc w:val="left"/>
              <w:rPr/>
            </w:pPr>
            <w:r>
              <w:rPr/>
              <w:t>​</w:t>
            </w:r>
          </w:p>
        </w:tc>
        <w:tc>
          <w:tcPr>
            <w:tcW w:w="8783" w:type="dxa"/>
            <w:tcBorders/>
            <w:vAlign w:val="center"/>
          </w:tcPr>
          <w:p>
            <w:pPr>
              <w:pStyle w:val="TableContents"/>
              <w:bidi w:val="0"/>
              <w:spacing w:before="0" w:after="0"/>
              <w:ind w:left="0" w:right="0" w:hanging="0"/>
              <w:jc w:val="left"/>
              <w:rPr/>
            </w:pPr>
            <w:hyperlink w:anchor="tmb-20230630xex10d1.htm">
              <w:r>
                <w:rPr>
                  <w:rStyle w:val="InternetLink"/>
                  <w:rFonts w:ascii="Times New Roman;Times;serif" w:hAnsi="Times New Roman;Times;serif"/>
                  <w:b w:val="false"/>
                  <w:i w:val="false"/>
                  <w:caps w:val="false"/>
                  <w:smallCaps w:val="false"/>
                  <w:sz w:val="20"/>
                </w:rPr>
                <w:t>Amendment No. 5 to License Agreement dated April 28, 2023 by and between Shiratori Pharmaceutical Co. Ltd. and PTC Therapeutics MP, Inc.</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46" w:type="dxa"/>
            <w:tcBorders/>
            <w:vAlign w:val="center"/>
          </w:tcPr>
          <w:p>
            <w:pPr>
              <w:pStyle w:val="TableContents"/>
              <w:bidi w:val="0"/>
              <w:spacing w:before="0" w:after="0"/>
              <w:ind w:left="0" w:right="0" w:hanging="0"/>
              <w:jc w:val="left"/>
              <w:rPr/>
            </w:pPr>
            <w:r>
              <w:rPr/>
              <w:t>​</w:t>
            </w:r>
          </w:p>
        </w:tc>
        <w:tc>
          <w:tcPr>
            <w:tcW w:w="878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Employment Agreement between PTC Therapeutics, Inc. and Matthew Klein (incorporated by reference to Exhibit 10.1 to the Current Report on Form 8-K filed by the Registrant on April 18, 2023)</w:t>
              </w:r>
            </w:hyperlink>
            <w:r>
              <w:rPr>
                <w:rFonts w:ascii="Times New Roman;Times;serif" w:hAnsi="Times New Roman;Times;serif"/>
                <w:sz w:val="20"/>
              </w:rPr>
              <w:t xml:space="preserve"> </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30630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Securities Exchange Act of 1934, as adopted pursuant to Section 302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30630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Securities Exchange Act of 1934, as adopted pursuant to Section 302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3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pPr>
            <w:hyperlink w:anchor="tmb-2023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Database</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 </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8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this Quarterly Report on Form 10-Q, formatted in Inline XBRL</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     Submitted electronically herewith.</w:t>
      </w:r>
    </w:p>
    <w:p>
      <w:pPr>
        <w:pStyle w:val="TextBody"/>
        <w:pBdr/>
        <w:bidi w:val="0"/>
        <w:spacing w:before="0" w:after="240"/>
        <w:ind w:left="0" w:right="0" w:hanging="360"/>
        <w:jc w:val="left"/>
        <w:rPr/>
      </w:pPr>
      <w:r>
        <w:rPr/>
        <w:t xml:space="preserve">† </w:t>
      </w:r>
      <w:r>
        <w:rPr>
          <w:rFonts w:ascii="Times New Roman;Times;serif" w:hAnsi="Times New Roman;Times;serif"/>
          <w:sz w:val="20"/>
        </w:rPr>
        <w:t>Portions of this exhibit have been omitted pursuant to Item 601(b)(10)(iv) of Regulation S-K.</w:t>
      </w:r>
    </w:p>
    <w:tbl>
      <w:tblPr>
        <w:tblW w:w="5087" w:type="dxa"/>
        <w:jc w:val="left"/>
        <w:tblInd w:w="0" w:type="dxa"/>
        <w:tblLayout w:type="fixed"/>
        <w:tblCellMar>
          <w:top w:w="0" w:type="dxa"/>
          <w:left w:w="0" w:type="dxa"/>
          <w:bottom w:w="0" w:type="dxa"/>
          <w:right w:w="0" w:type="dxa"/>
        </w:tblCellMar>
      </w:tblPr>
      <w:tblGrid>
        <w:gridCol w:w="226"/>
        <w:gridCol w:w="486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48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Management contract, compensatory plan or arrangement.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SEC Release 33-8238, Exhibits 32.1 and 32.2 are being furnished and not filed.</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69" w:name="SIGNATURES_319465"/>
      <w:bookmarkStart w:id="1770" w:name="_1dc3a18b_3f57_417e_a2a3_a1ed0997c102"/>
      <w:bookmarkEnd w:id="1769"/>
      <w:bookmarkEnd w:id="1770"/>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263" w:type="dxa"/>
        <w:jc w:val="left"/>
        <w:tblInd w:w="0" w:type="dxa"/>
        <w:tblLayout w:type="fixed"/>
        <w:tblCellMar>
          <w:top w:w="0" w:type="dxa"/>
          <w:left w:w="0" w:type="dxa"/>
          <w:bottom w:w="0" w:type="dxa"/>
          <w:right w:w="0" w:type="dxa"/>
        </w:tblCellMar>
      </w:tblPr>
      <w:tblGrid>
        <w:gridCol w:w="1846"/>
        <w:gridCol w:w="406"/>
        <w:gridCol w:w="501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172210" cy="175260"/>
                      <wp:effectExtent l="0" t="0" r="0" b="0"/>
                      <wp:wrapNone/>
                      <wp:docPr id="507" name="Frame50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57810" cy="175260"/>
                      <wp:effectExtent l="0" t="0" r="0" b="0"/>
                      <wp:wrapNone/>
                      <wp:docPr id="508" name="Frame50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3181985" cy="175260"/>
                      <wp:effectExtent l="0" t="0" r="0" b="0"/>
                      <wp:wrapNone/>
                      <wp:docPr id="509" name="Frame509"/>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 </w:t>
            </w:r>
          </w:p>
        </w:tc>
        <w:tc>
          <w:tcPr>
            <w:tcW w:w="54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501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1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Duly Authorized Signatory)</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0"/>
        <w:ind w:left="0" w:right="0" w:hanging="0"/>
        <w:jc w:val="right"/>
        <w:rPr>
          <w:rFonts w:ascii="Times New Roman;Times;serif" w:hAnsi="Times New Roman;Times;serif"/>
          <w:b/>
          <w:sz w:val="24"/>
        </w:rPr>
      </w:pPr>
      <w:bookmarkStart w:id="1771" w:name="tmb-20230630xex10d1.htm"/>
      <w:bookmarkStart w:id="1772" w:name="kstmb20230630xex10d1"/>
      <w:bookmarkEnd w:id="1771"/>
      <w:bookmarkEnd w:id="1772"/>
      <w:r>
        <w:rPr>
          <w:rFonts w:ascii="Times New Roman;Times;serif" w:hAnsi="Times New Roman;Times;serif"/>
          <w:b/>
          <w:sz w:val="24"/>
        </w:rPr>
        <w:t>EXHIBIT 10.1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Certain identified information has been excluded from the exhibit because it is both (i) not material and (ii) is the type of information that the registrant treats as private or confidential. Double asterisks denote omissions.</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Amendment No. 5 to License Agreement</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firstLine="720"/>
        <w:jc w:val="left"/>
        <w:rPr>
          <w:rFonts w:ascii="Calibri;Helvetica;sans-serif" w:hAnsi="Calibri;Helvetica;sans-serif"/>
          <w:sz w:val="22"/>
        </w:rPr>
      </w:pPr>
      <w:r>
        <w:rPr>
          <w:rFonts w:ascii="Times New Roman;Times;serif" w:hAnsi="Times New Roman;Times;serif"/>
          <w:sz w:val="24"/>
        </w:rPr>
        <w:t xml:space="preserve">This Amendment No. 5 (the </w:t>
      </w:r>
      <w:r>
        <w:rPr>
          <w:rFonts w:ascii="Calibri;Helvetica;sans-serif" w:hAnsi="Calibri;Helvetica;sans-serif"/>
          <w:sz w:val="22"/>
        </w:rPr>
        <w:t>“</w:t>
      </w:r>
      <w:r>
        <w:rPr>
          <w:rFonts w:ascii="TimesNewRomanPSMT" w:hAnsi="TimesNewRomanPSMT"/>
          <w:sz w:val="24"/>
        </w:rPr>
        <w:t>5</w:t>
      </w:r>
      <w:r>
        <w:rPr>
          <w:rFonts w:ascii="TimesNewRomanPSMT" w:hAnsi="TimesNewRomanPSMT"/>
          <w:sz w:val="18"/>
        </w:rPr>
        <w:t xml:space="preserve">th </w:t>
      </w:r>
      <w:r>
        <w:rPr>
          <w:rFonts w:ascii="TimesNewRomanPSMT" w:hAnsi="TimesNewRomanPSMT"/>
          <w:sz w:val="24"/>
        </w:rPr>
        <w:t xml:space="preserve">Amendment”) dated April 28, 2023 amends the License </w:t>
      </w:r>
      <w:r>
        <w:rPr>
          <w:rFonts w:ascii="Times New Roman;Times;serif" w:hAnsi="Times New Roman;Times;serif"/>
          <w:sz w:val="24"/>
        </w:rPr>
        <w:t>Agreement dated February 8, 2016 (the “Original Agreement”), as amended by Amendment No. 1 to the License Agreement dated July 31, 2017 (the “1</w:t>
      </w:r>
      <w:r>
        <w:rPr>
          <w:rFonts w:ascii="Times New Roman;Times;serif" w:hAnsi="Times New Roman;Times;serif"/>
          <w:sz w:val="18"/>
        </w:rPr>
        <w:t>st</w:t>
      </w:r>
      <w:r>
        <w:rPr>
          <w:rFonts w:ascii="Calibri;Helvetica;sans-serif" w:hAnsi="Calibri;Helvetica;sans-serif"/>
          <w:sz w:val="22"/>
        </w:rPr>
        <w:t xml:space="preserve"> </w:t>
      </w:r>
      <w:r>
        <w:rPr>
          <w:rFonts w:ascii="Times New Roman;Times;serif" w:hAnsi="Times New Roman;Times;serif"/>
          <w:sz w:val="24"/>
        </w:rPr>
        <w:t>Amendment”) as further amended by Amendment No. 2 to the License Agreement dated May 28, 2019 (the “2</w:t>
      </w:r>
      <w:r>
        <w:rPr>
          <w:rFonts w:ascii="Times New Roman;Times;serif" w:hAnsi="Times New Roman;Times;serif"/>
          <w:sz w:val="18"/>
        </w:rPr>
        <w:t>nd</w:t>
      </w:r>
      <w:r>
        <w:rPr>
          <w:rFonts w:ascii="Calibri;Helvetica;sans-serif" w:hAnsi="Calibri;Helvetica;sans-serif"/>
          <w:sz w:val="22"/>
        </w:rPr>
        <w:t xml:space="preserve"> </w:t>
      </w:r>
      <w:r>
        <w:rPr>
          <w:rFonts w:ascii="Times New Roman;Times;serif" w:hAnsi="Times New Roman;Times;serif"/>
          <w:sz w:val="24"/>
        </w:rPr>
        <w:t>Amendment”) as further amended by Amendment No. 3 to the License Agreement dated January 8, 2020 (the “3</w:t>
      </w:r>
      <w:r>
        <w:rPr>
          <w:rFonts w:ascii="Times New Roman;Times;serif" w:hAnsi="Times New Roman;Times;serif"/>
          <w:sz w:val="18"/>
        </w:rPr>
        <w:t>rd</w:t>
      </w:r>
      <w:r>
        <w:rPr>
          <w:rFonts w:ascii="Calibri;Helvetica;sans-serif" w:hAnsi="Calibri;Helvetica;sans-serif"/>
          <w:sz w:val="22"/>
        </w:rPr>
        <w:t xml:space="preserve"> </w:t>
      </w:r>
      <w:r>
        <w:rPr>
          <w:rFonts w:ascii="Times New Roman;Times;serif" w:hAnsi="Times New Roman;Times;serif"/>
          <w:sz w:val="24"/>
        </w:rPr>
        <w:t>Amendment” and as further amended by Amendment No. 4 to the License Agreement dated April 9, 2020 (the 4</w:t>
      </w:r>
      <w:r>
        <w:rPr>
          <w:rFonts w:ascii="Times New Roman;Times;serif" w:hAnsi="Times New Roman;Times;serif"/>
          <w:sz w:val="18"/>
        </w:rPr>
        <w:t>th</w:t>
      </w:r>
      <w:r>
        <w:rPr>
          <w:rFonts w:ascii="Calibri;Helvetica;sans-serif" w:hAnsi="Calibri;Helvetica;sans-serif"/>
          <w:sz w:val="22"/>
        </w:rPr>
        <w:t xml:space="preserve"> </w:t>
      </w:r>
      <w:r>
        <w:rPr>
          <w:rFonts w:ascii="Times New Roman;Times;serif" w:hAnsi="Times New Roman;Times;serif"/>
          <w:sz w:val="24"/>
        </w:rPr>
        <w:t>Amendment”), (together and collectively with the Original Agreement (the “Agreement”) by and between Shiratori Pharmaceutical Co. Ltd. having a principal place of business at WBG Marive East 28F, 2-6-1 Nakese, Mihama-ku, Chiba-shi, Chiba JAPAN (“Shiratori”) and Censa Pharmaceutical Inc., having a principal place of business at 65 Willian Street, Suite 200, Wellesley, MA 02481 (“Censa”).</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WHEREAS, the parties desire to modify the Agreement to reflect the understanding they have reached related to certain acknowledgements, notices, rights, milestone and royalty payments with respect to their relationship; and</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Calibri;Helvetica;sans-serif" w:hAnsi="Calibri;Helvetica;sans-serif"/>
          <w:sz w:val="22"/>
        </w:rPr>
      </w:pPr>
      <w:r>
        <w:rPr>
          <w:rFonts w:ascii="Times New Roman;Times;serif" w:hAnsi="Times New Roman;Times;serif"/>
          <w:sz w:val="24"/>
        </w:rPr>
        <w:t>WHEREAS, capitalized terms used in this 5</w:t>
      </w:r>
      <w:r>
        <w:rPr>
          <w:rFonts w:ascii="Times New Roman;Times;serif" w:hAnsi="Times New Roman;Times;serif"/>
          <w:sz w:val="18"/>
        </w:rPr>
        <w:t>th</w:t>
      </w:r>
      <w:r>
        <w:rPr>
          <w:rFonts w:ascii="Calibri;Helvetica;sans-serif" w:hAnsi="Calibri;Helvetica;sans-serif"/>
          <w:sz w:val="22"/>
        </w:rPr>
        <w:t xml:space="preserve"> </w:t>
      </w:r>
      <w:r>
        <w:rPr>
          <w:rFonts w:ascii="Times New Roman;Times;serif" w:hAnsi="Times New Roman;Times;serif"/>
          <w:sz w:val="24"/>
        </w:rPr>
        <w:t>Amendment not otherwise defined shall have the same meaning ascribed to such terms in the Agreement.</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4"/>
        </w:rPr>
      </w:pPr>
      <w:r>
        <w:rPr>
          <w:rFonts w:ascii="Times New Roman;Times;serif" w:hAnsi="Times New Roman;Times;serif"/>
          <w:sz w:val="24"/>
        </w:rPr>
        <w:t>NOW THEREFORE, for good and valuable consideration, the receipt of which is hereby acknowledged, the parties hereto agree as follows:</w:t>
      </w:r>
    </w:p>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hanging="0"/>
        <w:jc w:val="left"/>
        <w:rPr>
          <w:rFonts w:ascii="Calibri;Helvetica;sans-serif" w:hAnsi="Calibri;Helvetica;sans-serif"/>
          <w:sz w:val="22"/>
        </w:rPr>
      </w:pPr>
      <w:r>
        <w:rPr>
          <w:rFonts w:ascii="Times New Roman;Times;serif" w:hAnsi="Times New Roman;Times;serif"/>
          <w:b/>
          <w:sz w:val="24"/>
        </w:rPr>
        <w:t xml:space="preserve">Amendments. </w:t>
      </w:r>
      <w:r>
        <w:rPr>
          <w:rFonts w:ascii="Times New Roman;Times;serif" w:hAnsi="Times New Roman;Times;serif"/>
          <w:sz w:val="24"/>
        </w:rPr>
        <w:t>The Agreement is hereby amended as follows:</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w:t>
            </w:r>
          </w:p>
        </w:tc>
        <w:tc>
          <w:tcPr>
            <w:tcW w:w="1003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parties hereby acknowledge that on or about June 1</w:t>
            </w:r>
            <w:r>
              <w:rPr>
                <w:rFonts w:ascii="Times New Roman;Times;serif" w:hAnsi="Times New Roman;Times;serif"/>
                <w:b w:val="false"/>
                <w:i w:val="false"/>
                <w:caps w:val="false"/>
                <w:smallCaps w:val="false"/>
                <w:sz w:val="18"/>
              </w:rPr>
              <w:t>st</w:t>
            </w:r>
            <w:r>
              <w:rPr>
                <w:rFonts w:ascii="Times New Roman;Times;serif" w:hAnsi="Times New Roman;Times;serif"/>
                <w:b w:val="false"/>
                <w:i w:val="false"/>
                <w:caps w:val="false"/>
                <w:smallCaps w:val="false"/>
                <w:sz w:val="24"/>
              </w:rPr>
              <w:t>, 2020, PTC Therapeutics MP, Inc., a Delaware corporation with a principal place of business located at 100 Corporate Court, Middlesex Business Center, South Plainfield, New Jersey 07080, U.S.A. (“PTC”) acquired Censa. With this acquisition, PTC assumed all property, rights, privileges, powers, franchises, debts, liabilities, and duties appertaining to the Original Agreement, 1</w:t>
            </w:r>
            <w:r>
              <w:rPr>
                <w:rFonts w:ascii="Times New Roman;Times;serif" w:hAnsi="Times New Roman;Times;serif"/>
                <w:b w:val="false"/>
                <w:i w:val="false"/>
                <w:caps w:val="false"/>
                <w:smallCaps w:val="false"/>
                <w:sz w:val="18"/>
              </w:rPr>
              <w:t>st</w:t>
            </w:r>
            <w:r>
              <w:rPr>
                <w:caps w:val="false"/>
                <w:smallCaps w:val="false"/>
              </w:rPr>
              <w:t xml:space="preserve"> </w:t>
            </w:r>
            <w:r>
              <w:rPr>
                <w:rFonts w:ascii="Times New Roman;Times;serif" w:hAnsi="Times New Roman;Times;serif"/>
                <w:b w:val="false"/>
                <w:i w:val="false"/>
                <w:caps w:val="false"/>
                <w:smallCaps w:val="false"/>
                <w:sz w:val="24"/>
              </w:rPr>
              <w:t>Amendment, 2</w:t>
            </w:r>
            <w:r>
              <w:rPr>
                <w:rFonts w:ascii="Times New Roman;Times;serif" w:hAnsi="Times New Roman;Times;serif"/>
                <w:b w:val="false"/>
                <w:i w:val="false"/>
                <w:caps w:val="false"/>
                <w:smallCaps w:val="false"/>
                <w:sz w:val="18"/>
              </w:rPr>
              <w:t>nd</w:t>
            </w:r>
            <w:r>
              <w:rPr>
                <w:caps w:val="false"/>
                <w:smallCaps w:val="false"/>
              </w:rPr>
              <w:t xml:space="preserve"> </w:t>
            </w:r>
            <w:r>
              <w:rPr>
                <w:rFonts w:ascii="Times New Roman;Times;serif" w:hAnsi="Times New Roman;Times;serif"/>
                <w:b w:val="false"/>
                <w:i w:val="false"/>
                <w:caps w:val="false"/>
                <w:smallCaps w:val="false"/>
                <w:sz w:val="24"/>
              </w:rPr>
              <w:t>Amendment, 3</w:t>
            </w:r>
            <w:r>
              <w:rPr>
                <w:rFonts w:ascii="Times New Roman;Times;serif" w:hAnsi="Times New Roman;Times;serif"/>
                <w:b w:val="false"/>
                <w:i w:val="false"/>
                <w:caps w:val="false"/>
                <w:smallCaps w:val="false"/>
                <w:sz w:val="18"/>
              </w:rPr>
              <w:t>rd</w:t>
            </w:r>
            <w:r>
              <w:rPr>
                <w:caps w:val="false"/>
                <w:smallCaps w:val="false"/>
              </w:rPr>
              <w:t xml:space="preserve"> </w:t>
            </w:r>
            <w:r>
              <w:rPr>
                <w:rFonts w:ascii="Times New Roman;Times;serif" w:hAnsi="Times New Roman;Times;serif"/>
                <w:b w:val="false"/>
                <w:i w:val="false"/>
                <w:caps w:val="false"/>
                <w:smallCaps w:val="false"/>
                <w:sz w:val="24"/>
              </w:rPr>
              <w:t>Amendment, and 4</w:t>
            </w:r>
            <w:r>
              <w:rPr>
                <w:rFonts w:ascii="Times New Roman;Times;serif" w:hAnsi="Times New Roman;Times;serif"/>
                <w:b w:val="false"/>
                <w:i w:val="false"/>
                <w:caps w:val="false"/>
                <w:smallCaps w:val="false"/>
                <w:sz w:val="18"/>
              </w:rPr>
              <w:t>th</w:t>
            </w:r>
            <w:r>
              <w:rPr>
                <w:rFonts w:ascii="Times New Roman;Times;serif" w:hAnsi="Times New Roman;Times;serif"/>
                <w:b w:val="false"/>
                <w:i w:val="false"/>
                <w:caps w:val="false"/>
                <w:smallCaps w:val="false"/>
                <w:sz w:val="24"/>
              </w:rPr>
              <w:t xml:space="preserve">Amendment. </w:t>
            </w:r>
          </w:p>
        </w:tc>
      </w:tr>
    </w:tbl>
    <w:p>
      <w:pPr>
        <w:pStyle w:val="TextBody"/>
        <w:bidi w:val="0"/>
        <w:spacing w:lineRule="auto" w:line="307" w:before="0" w:after="16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w:t>
            </w:r>
          </w:p>
        </w:tc>
        <w:tc>
          <w:tcPr>
            <w:tcW w:w="998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Section 1.18 of the Original Agreement is hereby deleted in its entirety and replaced with the following</w:t>
            </w:r>
            <w:r>
              <w:rPr>
                <w:rFonts w:ascii="Times New Roman;Times;serif" w:hAnsi="Times New Roman;Times;serif"/>
                <w:b w:val="false"/>
                <w:i w:val="false"/>
                <w:caps w:val="false"/>
                <w:smallCaps w:val="false"/>
                <w:sz w:val="24"/>
              </w:rPr>
              <w:t>:</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1440" w:right="0" w:hanging="0"/>
        <w:jc w:val="left"/>
        <w:rPr>
          <w:rFonts w:ascii="Calibri;Helvetica;sans-serif" w:hAnsi="Calibri;Helvetica;sans-serif"/>
          <w:sz w:val="22"/>
        </w:rPr>
      </w:pPr>
      <w:r>
        <w:rPr>
          <w:rFonts w:ascii="Times New Roman;Times;serif" w:hAnsi="Times New Roman;Times;serif"/>
          <w:sz w:val="24"/>
        </w:rPr>
        <w:t>1.18 “</w:t>
      </w:r>
      <w:r>
        <w:rPr>
          <w:rFonts w:ascii="Times New Roman;Times;serif" w:hAnsi="Times New Roman;Times;serif"/>
          <w:sz w:val="24"/>
          <w:u w:val="single"/>
        </w:rPr>
        <w:t>Party</w:t>
      </w:r>
      <w:r>
        <w:rPr>
          <w:rFonts w:ascii="Calibri;Helvetica;sans-serif" w:hAnsi="Calibri;Helvetica;sans-serif"/>
          <w:sz w:val="22"/>
        </w:rPr>
        <w:t xml:space="preserve">” </w:t>
      </w:r>
      <w:r>
        <w:rPr>
          <w:rFonts w:ascii="Times New Roman;Times;serif" w:hAnsi="Times New Roman;Times;serif"/>
          <w:sz w:val="24"/>
        </w:rPr>
        <w:t>means PTC or Shiratori each individually as the case may be, and “</w:t>
      </w:r>
      <w:r>
        <w:rPr>
          <w:rFonts w:ascii="Times New Roman;Times;serif" w:hAnsi="Times New Roman;Times;serif"/>
          <w:sz w:val="24"/>
          <w:u w:val="single"/>
        </w:rPr>
        <w:t>Parties</w:t>
      </w:r>
      <w:r>
        <w:rPr>
          <w:rFonts w:ascii="Calibri;Helvetica;sans-serif" w:hAnsi="Calibri;Helvetica;sans-serif"/>
          <w:sz w:val="22"/>
        </w:rPr>
        <w:t xml:space="preserve">” </w:t>
      </w:r>
      <w:r>
        <w:rPr>
          <w:rFonts w:ascii="Times New Roman;Times;serif" w:hAnsi="Times New Roman;Times;serif"/>
          <w:sz w:val="24"/>
        </w:rPr>
        <w:t xml:space="preserve">means PTC and Shiratori together collectively. </w:t>
      </w:r>
    </w:p>
    <w:p>
      <w:pPr>
        <w:pStyle w:val="TextBody"/>
        <w:bidi w:val="0"/>
        <w:spacing w:lineRule="auto" w:line="307" w:before="0" w:after="16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3.</w:t>
            </w:r>
          </w:p>
        </w:tc>
        <w:tc>
          <w:tcPr>
            <w:tcW w:w="999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Section 12.4 Notices of the Original Agreement are hereby deleted in their entirety and replaced with the following</w:t>
            </w:r>
            <w:r>
              <w:rPr>
                <w:rFonts w:ascii="Times New Roman;Times;serif" w:hAnsi="Times New Roman;Times;serif"/>
                <w:b w:val="false"/>
                <w:i w:val="false"/>
                <w:caps w:val="false"/>
                <w:smallCaps w:val="false"/>
                <w:sz w:val="24"/>
              </w:rPr>
              <w:t>:</w:t>
            </w:r>
          </w:p>
        </w:tc>
      </w:tr>
    </w:tbl>
    <w:p>
      <w:pPr>
        <w:pStyle w:val="TextBody"/>
        <w:bidi w:val="0"/>
        <w:spacing w:lineRule="auto" w:line="307" w:before="0" w:after="160"/>
        <w:ind w:left="720" w:right="0" w:hanging="0"/>
        <w:jc w:val="left"/>
        <w:rPr/>
      </w:pPr>
      <w:r>
        <w:rPr/>
        <w:t>​</w:t>
      </w:r>
    </w:p>
    <w:p>
      <w:pPr>
        <w:pStyle w:val="TextBody"/>
        <w:bidi w:val="0"/>
        <w:spacing w:lineRule="auto" w:line="285" w:before="0" w:after="0"/>
        <w:ind w:left="0" w:right="0" w:hanging="0"/>
        <w:jc w:val="center"/>
        <w:rPr>
          <w:rFonts w:ascii="Calibri;Helvetica;sans-serif" w:hAnsi="Calibri;Helvetica;sans-serif"/>
          <w:sz w:val="22"/>
        </w:rPr>
      </w:pPr>
      <w:r>
        <w:rPr>
          <w:rFonts w:ascii="Times New Roman;Times;serif" w:hAnsi="Times New Roman;Times;serif"/>
          <w:sz w:val="24"/>
        </w:rPr>
        <w:t>1</w:t>
      </w:r>
      <w:r>
        <w:rPr>
          <w:rFonts w:ascii="Calibri;Helvetica;sans-serif" w:hAnsi="Calibri;Helvetica;sans-serif"/>
          <w:sz w:val="22"/>
        </w:rPr>
        <w:t xml:space="preserve"> </w:t>
      </w:r>
      <w:r>
        <w:rPr>
          <w:rFonts w:ascii="Times New Roman;Times;serif" w:hAnsi="Times New Roman;Times;serif"/>
          <w:sz w:val="24"/>
        </w:rPr>
        <w:t>of 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Amendment No. 5 to License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Notices to Shiratori shall be addressed to:</w:t>
      </w:r>
    </w:p>
    <w:p>
      <w:pPr>
        <w:pStyle w:val="TextBody"/>
        <w:bidi w:val="0"/>
        <w:spacing w:lineRule="auto" w:line="307" w:before="0" w:after="160"/>
        <w:ind w:left="720" w:right="0" w:hanging="0"/>
        <w:jc w:val="left"/>
        <w:rPr/>
      </w:pPr>
      <w:r>
        <w:rPr/>
        <w:t>​</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 xml:space="preserve">WBG Marive East 28F, </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 xml:space="preserve">2-6-1 Nakese, Mihama-ku, </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 xml:space="preserve">Chiba-shi, Chiba JAPAN </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Telephone No.: [**]</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Facsimile No.: [**]</w:t>
      </w:r>
    </w:p>
    <w:p>
      <w:pPr>
        <w:pStyle w:val="TextBody"/>
        <w:bidi w:val="0"/>
        <w:spacing w:lineRule="auto" w:line="307" w:before="0" w:after="160"/>
        <w:ind w:left="720" w:right="0" w:firstLine="720"/>
        <w:jc w:val="left"/>
        <w:rPr/>
      </w:pPr>
      <w:r>
        <w:rPr/>
        <w:t>​</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Notices to Censa shall be addressed to PTC:</w:t>
      </w:r>
    </w:p>
    <w:p>
      <w:pPr>
        <w:pStyle w:val="TextBody"/>
        <w:bidi w:val="0"/>
        <w:spacing w:lineRule="auto" w:line="307" w:before="0" w:after="160"/>
        <w:ind w:left="720" w:right="0" w:hanging="0"/>
        <w:jc w:val="left"/>
        <w:rPr/>
      </w:pPr>
      <w:r>
        <w:rPr/>
        <w:t>​</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 xml:space="preserve">PTC Therapeutics MP, Inc. </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 xml:space="preserve">100 Corporate Court </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 xml:space="preserve">Middlesex Business Center </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South Plainfield, New Jersey 07080, U.S.A.</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 xml:space="preserve">Email: [**] </w:t>
      </w:r>
    </w:p>
    <w:p>
      <w:pPr>
        <w:pStyle w:val="TextBody"/>
        <w:bidi w:val="0"/>
        <w:spacing w:lineRule="auto" w:line="285" w:before="0" w:after="0"/>
        <w:ind w:left="720" w:right="0" w:firstLine="720"/>
        <w:jc w:val="left"/>
        <w:rPr>
          <w:rFonts w:ascii="Times New Roman;Times;serif" w:hAnsi="Times New Roman;Times;serif"/>
          <w:sz w:val="24"/>
        </w:rPr>
      </w:pPr>
      <w:r>
        <w:rPr>
          <w:rFonts w:ascii="Times New Roman;Times;serif" w:hAnsi="Times New Roman;Times;serif"/>
          <w:sz w:val="24"/>
        </w:rPr>
        <w:t>Attention: Legal Department</w:t>
      </w:r>
    </w:p>
    <w:p>
      <w:pPr>
        <w:pStyle w:val="TextBody"/>
        <w:bidi w:val="0"/>
        <w:spacing w:lineRule="auto" w:line="307" w:before="0" w:after="16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4.</w:t>
            </w:r>
          </w:p>
        </w:tc>
        <w:tc>
          <w:tcPr>
            <w:tcW w:w="9986"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Section 2.1 of the Original Agreement is hereby amended to add the following right and license in Japan:</w:t>
            </w:r>
          </w:p>
        </w:tc>
      </w:tr>
    </w:tbl>
    <w:p>
      <w:pPr>
        <w:pStyle w:val="TextBody"/>
        <w:bidi w:val="0"/>
        <w:spacing w:lineRule="auto" w:line="307" w:before="0" w:after="160"/>
        <w:ind w:left="720" w:right="0" w:hanging="0"/>
        <w:jc w:val="left"/>
        <w:rPr/>
      </w:pPr>
      <w:r>
        <w:rPr/>
        <w:t>​</w:t>
      </w:r>
    </w:p>
    <w:p>
      <w:pPr>
        <w:pStyle w:val="TextBody"/>
        <w:bidi w:val="0"/>
        <w:spacing w:lineRule="auto" w:line="285" w:before="0" w:after="0"/>
        <w:ind w:left="1080" w:right="0" w:firstLine="360"/>
        <w:jc w:val="left"/>
        <w:rPr>
          <w:rFonts w:ascii="Times New Roman;Times;serif" w:hAnsi="Times New Roman;Times;serif"/>
          <w:b/>
          <w:sz w:val="24"/>
        </w:rPr>
      </w:pPr>
      <w:r>
        <w:rPr>
          <w:rFonts w:ascii="Times New Roman;Times;serif" w:hAnsi="Times New Roman;Times;serif"/>
          <w:b/>
          <w:sz w:val="24"/>
        </w:rPr>
        <w:t xml:space="preserve">License Grants to PTC </w:t>
      </w:r>
    </w:p>
    <w:p>
      <w:pPr>
        <w:pStyle w:val="TextBody"/>
        <w:bidi w:val="0"/>
        <w:spacing w:lineRule="auto" w:line="285" w:before="0" w:after="0"/>
        <w:ind w:left="2160" w:right="0" w:hanging="0"/>
        <w:jc w:val="left"/>
        <w:rPr>
          <w:rFonts w:ascii="Times New Roman;Times;serif" w:hAnsi="Times New Roman;Times;serif"/>
          <w:sz w:val="24"/>
        </w:rPr>
      </w:pPr>
      <w:r>
        <w:rPr>
          <w:rFonts w:ascii="Times New Roman;Times;serif" w:hAnsi="Times New Roman;Times;serif"/>
          <w:sz w:val="24"/>
        </w:rPr>
        <w:t>Shiratori hereby grants to PTC the sole and exclusive, even as to Shiratori, worldwide right and license, with the right to sublicense, under the Licensed Technology to research, have researched, develop, have developed, use, import, export, market, have marketed, offer for sale, sell and have sold, and otherwise commercialize the Product in the Territory.</w:t>
      </w:r>
    </w:p>
    <w:p>
      <w:pPr>
        <w:pStyle w:val="TextBody"/>
        <w:bidi w:val="0"/>
        <w:spacing w:lineRule="auto" w:line="307" w:before="0" w:after="160"/>
        <w:ind w:left="2160" w:right="0" w:hanging="0"/>
        <w:jc w:val="left"/>
        <w:rPr/>
      </w:pPr>
      <w:r>
        <w:rPr/>
        <w:t>​</w:t>
      </w:r>
    </w:p>
    <w:p>
      <w:pPr>
        <w:pStyle w:val="TextBody"/>
        <w:bidi w:val="0"/>
        <w:spacing w:lineRule="auto" w:line="285" w:before="0" w:after="0"/>
        <w:ind w:left="2160" w:right="0" w:hanging="0"/>
        <w:jc w:val="left"/>
        <w:rPr>
          <w:rFonts w:ascii="Times New Roman;Times;serif" w:hAnsi="Times New Roman;Times;serif"/>
          <w:sz w:val="24"/>
        </w:rPr>
      </w:pPr>
      <w:r>
        <w:rPr>
          <w:rFonts w:ascii="Times New Roman;Times;serif" w:hAnsi="Times New Roman;Times;serif"/>
          <w:sz w:val="24"/>
        </w:rPr>
        <w:t>In Japan, Shiratori hereby grants to PTC the sole and exclusive, even as to Shiratori, right and license, with the right to sublicense, under the Licensed Technology to research, have researched, develop, have developed, use, import, export, market, have marketed, offer for sale, sell and have sold, and otherwise commercialize the Product applied only for PKU.</w:t>
      </w:r>
    </w:p>
    <w:p>
      <w:pPr>
        <w:pStyle w:val="TextBody"/>
        <w:bidi w:val="0"/>
        <w:spacing w:lineRule="auto" w:line="307" w:before="0" w:after="160"/>
        <w:ind w:left="1080" w:right="0" w:firstLine="360"/>
        <w:jc w:val="left"/>
        <w:rPr/>
      </w:pPr>
      <w:r>
        <w:rPr/>
        <w:t>​</w:t>
      </w:r>
    </w:p>
    <w:p>
      <w:pPr>
        <w:pStyle w:val="TextBody"/>
        <w:bidi w:val="0"/>
        <w:spacing w:lineRule="auto" w:line="285" w:before="0" w:after="0"/>
        <w:ind w:left="2160" w:right="0" w:hanging="0"/>
        <w:jc w:val="left"/>
        <w:rPr>
          <w:rFonts w:ascii="Times New Roman;Times;serif" w:hAnsi="Times New Roman;Times;serif"/>
          <w:sz w:val="24"/>
        </w:rPr>
      </w:pPr>
      <w:r>
        <w:rPr>
          <w:rFonts w:ascii="Times New Roman;Times;serif" w:hAnsi="Times New Roman;Times;serif"/>
          <w:sz w:val="24"/>
        </w:rPr>
        <w:t xml:space="preserve">In Japan, Shiratori shall retain the right under the Licensed Technology, to make, manufacture and produce the Product, and to research, have researched, develop, have developed, use, import, export, market, have marketed, offer for sale, sell and have sold, and otherwise commercialize the Product applied for any diseases other than PKU. </w:t>
      </w:r>
    </w:p>
    <w:p>
      <w:pPr>
        <w:pStyle w:val="TextBody"/>
        <w:bidi w:val="0"/>
        <w:spacing w:lineRule="auto" w:line="307"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5.</w:t>
            </w:r>
          </w:p>
        </w:tc>
        <w:tc>
          <w:tcPr>
            <w:tcW w:w="998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Section 3.8 of the Original Agreement is hereby amended to add Sections 3.8 (c) and 3.8 (d) as follows:</w:t>
            </w:r>
          </w:p>
        </w:tc>
      </w:tr>
    </w:tbl>
    <w:p>
      <w:pPr>
        <w:pStyle w:val="TextBody"/>
        <w:bidi w:val="0"/>
        <w:spacing w:lineRule="auto" w:line="307" w:before="0" w:after="160"/>
        <w:ind w:left="1080" w:right="0" w:hanging="0"/>
        <w:jc w:val="left"/>
        <w:rPr/>
      </w:pPr>
      <w:r>
        <w:rPr/>
        <w:t>​</w:t>
      </w:r>
    </w:p>
    <w:p>
      <w:pPr>
        <w:pStyle w:val="TextBody"/>
        <w:bidi w:val="0"/>
        <w:spacing w:lineRule="auto" w:line="285" w:before="0" w:after="0"/>
        <w:ind w:left="720" w:right="0" w:firstLine="720"/>
        <w:jc w:val="left"/>
        <w:rPr>
          <w:rFonts w:ascii="Times New Roman;Times;serif" w:hAnsi="Times New Roman;Times;serif"/>
          <w:b/>
          <w:sz w:val="24"/>
        </w:rPr>
      </w:pPr>
      <w:r>
        <w:rPr>
          <w:rFonts w:ascii="Times New Roman;Times;serif" w:hAnsi="Times New Roman;Times;serif"/>
          <w:b/>
          <w:sz w:val="24"/>
        </w:rPr>
        <w:t xml:space="preserve">Commercialization Phase Drug Substance Supply </w:t>
      </w:r>
    </w:p>
    <w:p>
      <w:pPr>
        <w:pStyle w:val="TextBody"/>
        <w:bidi w:val="0"/>
        <w:spacing w:lineRule="auto" w:line="285" w:before="0" w:after="0"/>
        <w:ind w:left="2160" w:right="0" w:hanging="0"/>
        <w:jc w:val="left"/>
        <w:rPr>
          <w:rFonts w:ascii="Times New Roman;Times;serif" w:hAnsi="Times New Roman;Times;serif"/>
          <w:sz w:val="24"/>
        </w:rPr>
      </w:pPr>
      <w:r>
        <w:rPr>
          <w:rFonts w:ascii="Times New Roman;Times;serif" w:hAnsi="Times New Roman;Times;serif"/>
          <w:sz w:val="24"/>
        </w:rPr>
        <w:t xml:space="preserve">3.8 (c) Shiratori hereby grants to PTC the non-exclusive right, with the right to sublicense, under the Licensed Technology, to make, manufacture, </w:t>
      </w:r>
    </w:p>
    <w:p>
      <w:pPr>
        <w:pStyle w:val="TextBody"/>
        <w:bidi w:val="0"/>
        <w:spacing w:lineRule="auto" w:line="285" w:before="0" w:after="0"/>
        <w:ind w:left="0" w:right="0" w:hanging="0"/>
        <w:jc w:val="center"/>
        <w:rPr>
          <w:rFonts w:ascii="Calibri;Helvetica;sans-serif" w:hAnsi="Calibri;Helvetica;sans-serif"/>
          <w:sz w:val="22"/>
        </w:rPr>
      </w:pPr>
      <w:r>
        <w:rPr>
          <w:rFonts w:ascii="Times New Roman;Times;serif" w:hAnsi="Times New Roman;Times;serif"/>
          <w:sz w:val="24"/>
        </w:rPr>
        <w:t>2</w:t>
      </w:r>
      <w:r>
        <w:rPr>
          <w:rFonts w:ascii="Calibri;Helvetica;sans-serif" w:hAnsi="Calibri;Helvetica;sans-serif"/>
          <w:sz w:val="22"/>
        </w:rPr>
        <w:t xml:space="preserve"> </w:t>
      </w:r>
      <w:r>
        <w:rPr>
          <w:rFonts w:ascii="Times New Roman;Times;serif" w:hAnsi="Times New Roman;Times;serif"/>
          <w:sz w:val="24"/>
        </w:rPr>
        <w:t>of 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Amendment No. 5 to License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2160" w:right="0" w:hanging="0"/>
        <w:jc w:val="left"/>
        <w:rPr>
          <w:rFonts w:ascii="Times New Roman;Times;serif" w:hAnsi="Times New Roman;Times;serif"/>
          <w:sz w:val="24"/>
        </w:rPr>
      </w:pPr>
      <w:r>
        <w:rPr>
          <w:rFonts w:ascii="Times New Roman;Times;serif" w:hAnsi="Times New Roman;Times;serif"/>
          <w:sz w:val="24"/>
        </w:rPr>
        <w:t>produce, market, offer for sale, sell and otherwise commercialize the Drug Substance used for the Product in accordance with the License Grants above, and Shiratori itself also may make, manufacture, produce, market, have marketed, offer for sale, sell and otherwise commercialize the Drug Substance used for the Product in accordance with the License Grants above. Shiratori shall be deemed the priority commercial supplier for Japan during commercialization. However, if Shiratori is unable to meet the supply and demand or the appropriate standards for commercial supply, PTC without any limitation, shall have the right to use an alternative supplier to import Product during commercialization.</w:t>
      </w:r>
    </w:p>
    <w:p>
      <w:pPr>
        <w:pStyle w:val="TextBody"/>
        <w:bidi w:val="0"/>
        <w:spacing w:lineRule="auto" w:line="307" w:before="0" w:after="160"/>
        <w:ind w:left="2160" w:right="0" w:hanging="0"/>
        <w:jc w:val="left"/>
        <w:rPr/>
      </w:pPr>
      <w:r>
        <w:rPr/>
        <w:t>​</w:t>
      </w:r>
    </w:p>
    <w:p>
      <w:pPr>
        <w:pStyle w:val="TextBody"/>
        <w:bidi w:val="0"/>
        <w:spacing w:lineRule="auto" w:line="307" w:before="0" w:after="0"/>
        <w:ind w:left="2160" w:right="0" w:hanging="0"/>
        <w:jc w:val="left"/>
        <w:rPr>
          <w:rFonts w:ascii="Times New Roman;Times;serif" w:hAnsi="Times New Roman;Times;serif"/>
          <w:sz w:val="24"/>
        </w:rPr>
      </w:pPr>
      <w:r>
        <w:rPr>
          <w:rFonts w:ascii="Times New Roman;Times;serif" w:hAnsi="Times New Roman;Times;serif"/>
          <w:sz w:val="24"/>
        </w:rPr>
        <w:t xml:space="preserve">3.8 (d) The terms and conditions of the Supply Agreement in Section 3.8 (a) shall be negotiated and determined based on the terms and conditions stipulated in Section 3.8(a) and Section 3.8(b). Shiratori shall request PTC’s consent for Shiratori to commercialize the Licensed Technology for any indication other than PKU, and such consent shall not be unreasonably withheld. </w:t>
      </w:r>
    </w:p>
    <w:p>
      <w:pPr>
        <w:pStyle w:val="TextBody"/>
        <w:bidi w:val="0"/>
        <w:spacing w:lineRule="auto" w:line="307" w:before="0" w:after="160"/>
        <w:ind w:left="21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6"/>
        <w:gridCol w:w="10006"/>
      </w:tblGrid>
      <w:tr>
        <w:trPr/>
        <w:tc>
          <w:tcPr>
            <w:tcW w:w="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6.</w:t>
            </w:r>
          </w:p>
        </w:tc>
        <w:tc>
          <w:tcPr>
            <w:tcW w:w="10006"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Section 4.1 of the Original Agreement, previously amended by the 4th Amendment, is hereby amended with the following additional milestone payment:</w:t>
            </w:r>
          </w:p>
        </w:tc>
      </w:tr>
    </w:tbl>
    <w:p>
      <w:pPr>
        <w:pStyle w:val="TextBody"/>
        <w:bidi w:val="0"/>
        <w:spacing w:lineRule="auto" w:line="307" w:before="0" w:after="160"/>
        <w:ind w:left="1080" w:right="0" w:hanging="0"/>
        <w:jc w:val="left"/>
        <w:rPr/>
      </w:pPr>
      <w:r>
        <w:rPr/>
        <w:t>​</w:t>
      </w:r>
    </w:p>
    <w:p>
      <w:pPr>
        <w:pStyle w:val="TextBody"/>
        <w:bidi w:val="0"/>
        <w:spacing w:lineRule="auto" w:line="285" w:before="0" w:after="0"/>
        <w:ind w:left="1800" w:right="0" w:hanging="0"/>
        <w:jc w:val="left"/>
        <w:rPr>
          <w:rFonts w:ascii="Times New Roman;Times;serif" w:hAnsi="Times New Roman;Times;serif"/>
          <w:b/>
          <w:sz w:val="24"/>
        </w:rPr>
      </w:pPr>
      <w:r>
        <w:rPr>
          <w:rFonts w:ascii="Times New Roman;Times;serif" w:hAnsi="Times New Roman;Times;serif"/>
          <w:b/>
          <w:sz w:val="24"/>
        </w:rPr>
        <w:t xml:space="preserve">Milestone Payment for PMDA </w:t>
      </w:r>
    </w:p>
    <w:p>
      <w:pPr>
        <w:pStyle w:val="TextBody"/>
        <w:bidi w:val="0"/>
        <w:spacing w:lineRule="auto" w:line="307" w:before="0" w:after="0"/>
        <w:ind w:left="2520" w:right="0" w:hanging="0"/>
        <w:jc w:val="left"/>
        <w:rPr>
          <w:rFonts w:ascii="Calibri;Helvetica;sans-serif" w:hAnsi="Calibri;Helvetica;sans-serif"/>
          <w:sz w:val="22"/>
        </w:rPr>
      </w:pPr>
      <w:r>
        <w:rPr>
          <w:rFonts w:ascii="Times New Roman;Times;serif" w:hAnsi="Times New Roman;Times;serif"/>
          <w:sz w:val="24"/>
        </w:rPr>
        <w:t>In consideration for the changes in this 5</w:t>
      </w:r>
      <w:r>
        <w:rPr>
          <w:rFonts w:ascii="Times New Roman;Times;serif" w:hAnsi="Times New Roman;Times;serif"/>
          <w:sz w:val="18"/>
        </w:rPr>
        <w:t>th</w:t>
      </w:r>
      <w:r>
        <w:rPr>
          <w:rFonts w:ascii="Calibri;Helvetica;sans-serif" w:hAnsi="Calibri;Helvetica;sans-serif"/>
          <w:sz w:val="22"/>
        </w:rPr>
        <w:t xml:space="preserve"> </w:t>
      </w:r>
      <w:r>
        <w:rPr>
          <w:rFonts w:ascii="Times New Roman;Times;serif" w:hAnsi="Times New Roman;Times;serif"/>
          <w:sz w:val="24"/>
        </w:rPr>
        <w:t>Amendment, the Parties hereby agree to amend Section 4.1 with the following PMDA milestone payment, as follows:</w:t>
      </w:r>
    </w:p>
    <w:p>
      <w:pPr>
        <w:pStyle w:val="TextBody"/>
        <w:bidi w:val="0"/>
        <w:spacing w:lineRule="auto" w:line="307" w:before="0" w:after="160"/>
        <w:ind w:left="2520" w:right="0" w:hanging="0"/>
        <w:jc w:val="left"/>
        <w:rPr/>
      </w:pPr>
      <w:r>
        <w:rPr/>
        <w:t>​</w:t>
      </w:r>
    </w:p>
    <w:p>
      <w:pPr>
        <w:pStyle w:val="TextBody"/>
        <w:pBdr/>
        <w:bidi w:val="0"/>
        <w:spacing w:lineRule="auto" w:line="307" w:before="0" w:after="0"/>
        <w:ind w:left="2880" w:right="0" w:hanging="630"/>
        <w:jc w:val="left"/>
        <w:rPr>
          <w:rFonts w:ascii="Times New Roman;Times;serif" w:hAnsi="Times New Roman;Times;serif"/>
          <w:sz w:val="24"/>
        </w:rPr>
      </w:pPr>
      <w:r>
        <w:rPr>
          <w:rFonts w:ascii="Times New Roman;Times;serif" w:hAnsi="Times New Roman;Times;serif"/>
          <w:sz w:val="24"/>
        </w:rPr>
        <w:t>- (j) – JP¥ [**] upon [**].</w:t>
      </w:r>
    </w:p>
    <w:p>
      <w:pPr>
        <w:pStyle w:val="TextBody"/>
        <w:bidi w:val="0"/>
        <w:spacing w:lineRule="auto" w:line="307" w:before="0" w:after="160"/>
        <w:ind w:left="2520" w:right="0" w:hanging="0"/>
        <w:jc w:val="left"/>
        <w:rPr/>
      </w:pPr>
      <w:r>
        <w:rPr/>
        <w:t>​</w:t>
      </w:r>
    </w:p>
    <w:p>
      <w:pPr>
        <w:pStyle w:val="TextBody"/>
        <w:bidi w:val="0"/>
        <w:spacing w:lineRule="auto" w:line="307" w:before="0" w:after="0"/>
        <w:ind w:left="2520" w:right="0" w:hanging="0"/>
        <w:jc w:val="left"/>
        <w:rPr>
          <w:rFonts w:ascii="Times New Roman;Times;serif" w:hAnsi="Times New Roman;Times;serif"/>
          <w:sz w:val="24"/>
        </w:rPr>
      </w:pPr>
      <w:r>
        <w:rPr>
          <w:rFonts w:ascii="Times New Roman;Times;serif" w:hAnsi="Times New Roman;Times;serif"/>
          <w:sz w:val="24"/>
        </w:rPr>
        <w:t>Notwithstanding Section 5.7 Currency Exchange, the payment of Milestone 4.1 (j) shall be made in Japanese Yen.</w:t>
      </w:r>
    </w:p>
    <w:p>
      <w:pPr>
        <w:pStyle w:val="TextBody"/>
        <w:bidi w:val="0"/>
        <w:spacing w:lineRule="auto" w:line="307" w:before="0" w:after="16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0"/>
        <w:gridCol w:w="9992"/>
      </w:tblGrid>
      <w:tr>
        <w:trPr/>
        <w:tc>
          <w:tcPr>
            <w:tcW w:w="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7.</w:t>
            </w:r>
          </w:p>
        </w:tc>
        <w:tc>
          <w:tcPr>
            <w:tcW w:w="9992"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Section 5.1 of the Agreement, previously amended by the 3rd Amendment, is hereby amended to add the following:</w:t>
            </w:r>
          </w:p>
        </w:tc>
      </w:tr>
    </w:tbl>
    <w:p>
      <w:pPr>
        <w:pStyle w:val="TextBody"/>
        <w:bidi w:val="0"/>
        <w:spacing w:lineRule="auto" w:line="307" w:before="0" w:after="16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998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Royalty Rates-Japan</w:t>
            </w:r>
            <w:r>
              <w:rPr>
                <w:rFonts w:ascii="Times New Roman;Times;serif" w:hAnsi="Times New Roman;Times;serif"/>
                <w:b w:val="false"/>
                <w:i w:val="false"/>
                <w:caps w:val="false"/>
                <w:smallCaps w:val="false"/>
                <w:sz w:val="24"/>
              </w:rPr>
              <w:t>. PTC shall pay to Shiratori royalties on the Product based on aggregate Net Sales of such Product in Japan in the amount of [**] percent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7" w:before="0" w:after="160"/>
        <w:ind w:left="2520" w:right="907" w:hanging="0"/>
        <w:jc w:val="both"/>
        <w:rPr/>
      </w:pPr>
      <w:r>
        <w:rPr/>
        <w:t>​</w:t>
      </w:r>
    </w:p>
    <w:p>
      <w:pPr>
        <w:pStyle w:val="TextBody"/>
        <w:bidi w:val="0"/>
        <w:spacing w:lineRule="auto" w:line="285" w:before="0" w:after="0"/>
        <w:ind w:left="2520" w:right="907" w:hanging="0"/>
        <w:jc w:val="both"/>
        <w:rPr>
          <w:rFonts w:ascii="Times New Roman;Times;serif" w:hAnsi="Times New Roman;Times;serif"/>
          <w:sz w:val="24"/>
        </w:rPr>
      </w:pPr>
      <w:r>
        <w:rPr>
          <w:rFonts w:ascii="Times New Roman;Times;serif" w:hAnsi="Times New Roman;Times;serif"/>
          <w:sz w:val="24"/>
        </w:rPr>
        <w:t xml:space="preserve">For clarity and the avoidance of doubt, all other Royalty Rates and Terms of Royalties shall remain unchanged. </w:t>
      </w:r>
    </w:p>
    <w:p>
      <w:pPr>
        <w:pStyle w:val="TextBody"/>
        <w:bidi w:val="0"/>
        <w:spacing w:lineRule="auto" w:line="307" w:before="0" w:after="160"/>
        <w:ind w:left="2520" w:right="907"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w:t>
            </w:r>
          </w:p>
        </w:tc>
        <w:tc>
          <w:tcPr>
            <w:tcW w:w="9998"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Section 5.2(c) of the Agreement, previously amended by the 3rd Amendment, is hereby deleted and replaced with the following:</w:t>
            </w:r>
          </w:p>
        </w:tc>
      </w:tr>
    </w:tbl>
    <w:p>
      <w:pPr>
        <w:pStyle w:val="TextBody"/>
        <w:bidi w:val="0"/>
        <w:spacing w:lineRule="auto" w:line="307" w:before="0" w:after="160"/>
        <w:ind w:left="2520" w:right="907" w:hanging="0"/>
        <w:jc w:val="both"/>
        <w:rPr/>
      </w:pPr>
      <w:r>
        <w:rPr/>
        <w:t>​</w:t>
      </w:r>
    </w:p>
    <w:p>
      <w:pPr>
        <w:pStyle w:val="TextBody"/>
        <w:bidi w:val="0"/>
        <w:spacing w:lineRule="auto" w:line="285" w:before="0" w:after="0"/>
        <w:ind w:left="0" w:right="0" w:hanging="0"/>
        <w:jc w:val="center"/>
        <w:rPr>
          <w:rFonts w:ascii="Calibri;Helvetica;sans-serif" w:hAnsi="Calibri;Helvetica;sans-serif"/>
          <w:sz w:val="22"/>
        </w:rPr>
      </w:pPr>
      <w:r>
        <w:rPr>
          <w:rFonts w:ascii="Times New Roman;Times;serif" w:hAnsi="Times New Roman;Times;serif"/>
          <w:sz w:val="24"/>
        </w:rPr>
        <w:t>3</w:t>
      </w:r>
      <w:r>
        <w:rPr>
          <w:rFonts w:ascii="Calibri;Helvetica;sans-serif" w:hAnsi="Calibri;Helvetica;sans-serif"/>
          <w:sz w:val="22"/>
        </w:rPr>
        <w:t xml:space="preserve"> </w:t>
      </w:r>
      <w:r>
        <w:rPr>
          <w:rFonts w:ascii="Times New Roman;Times;serif" w:hAnsi="Times New Roman;Times;serif"/>
          <w:sz w:val="24"/>
        </w:rPr>
        <w:t>of 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Amendment No. 5 to License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2520" w:right="907" w:hanging="0"/>
        <w:jc w:val="both"/>
        <w:rPr>
          <w:rFonts w:ascii="Times New Roman;Times;serif" w:hAnsi="Times New Roman;Times;serif"/>
          <w:sz w:val="24"/>
        </w:rPr>
      </w:pPr>
      <w:r>
        <w:rPr>
          <w:rFonts w:ascii="Times New Roman;Times;serif" w:hAnsi="Times New Roman;Times;serif"/>
          <w:sz w:val="24"/>
        </w:rPr>
        <w:t>(c) Royalty Rate shall be payable for any other country in the Territory and Royalty Rate-Japan shall be payable for Japan, until the expiration of the last-to-expire Licensed Patent Controlled by Shiratori covering the relevant countries on a country-by-country basis if the making, having made, using, offering to sell, selling or importing of such Product by PTC, its Affiliates or its sublicensees (or the distributors of any of them) in the absence of this Agreement, would infringe one or more Valid Claim of the Licensed Patents in the relevant countries.</w:t>
      </w:r>
    </w:p>
    <w:p>
      <w:pPr>
        <w:pStyle w:val="TextBody"/>
        <w:bidi w:val="0"/>
        <w:spacing w:lineRule="auto" w:line="307" w:before="0" w:after="160"/>
        <w:ind w:left="2520" w:right="907"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9.</w:t>
            </w:r>
          </w:p>
        </w:tc>
        <w:tc>
          <w:tcPr>
            <w:tcW w:w="1000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Section 9.2 (b) of the Agreement, previously amended by the 3rd Amendment and 4th Amendment, is hereby deleted and replaced with the following:</w:t>
            </w:r>
          </w:p>
        </w:tc>
      </w:tr>
    </w:tbl>
    <w:p>
      <w:pPr>
        <w:pStyle w:val="TextBody"/>
        <w:bidi w:val="0"/>
        <w:spacing w:lineRule="auto" w:line="307" w:before="0" w:after="160"/>
        <w:ind w:left="1080" w:right="0" w:hanging="0"/>
        <w:jc w:val="left"/>
        <w:rPr/>
      </w:pPr>
      <w:r>
        <w:rPr/>
        <w:t>​</w:t>
      </w:r>
    </w:p>
    <w:p>
      <w:pPr>
        <w:pStyle w:val="TextBody"/>
        <w:bidi w:val="0"/>
        <w:spacing w:lineRule="auto" w:line="285" w:before="0" w:after="0"/>
        <w:ind w:left="2070" w:right="0" w:hanging="0"/>
        <w:jc w:val="left"/>
        <w:rPr>
          <w:rFonts w:ascii="Times New Roman;Times;serif" w:hAnsi="Times New Roman;Times;serif"/>
          <w:sz w:val="24"/>
        </w:rPr>
      </w:pPr>
      <w:r>
        <w:rPr>
          <w:rFonts w:ascii="Times New Roman;Times;serif" w:hAnsi="Times New Roman;Times;serif"/>
          <w:sz w:val="24"/>
        </w:rPr>
        <w:t>(b) By Shiratori. Unless otherwise agreed between the Parties in writing, Shiratori may elect to terminate this Agreement upon sixty (60) days’ prior written notice to PTC in the event that PTC fails (i) to achieve Regulatory Approval in either the United States or European Union, Japan for at least one indication within ten (10) years from the Effective Date or (ii) to launch the Product in the United States or European Union, Japan within eleven (11) years from the Effective Date. PTC shall, as of the effectiveness of such termination, be relieved of any and all further obligations to make payments to Shiratori under this Agreement to the extent not accrued prior to such termination. PTC also shall be relieved of any and all further obligations with respect to patents and patent applications in the Territory.</w:t>
      </w:r>
    </w:p>
    <w:p>
      <w:pPr>
        <w:pStyle w:val="TextBody"/>
        <w:bidi w:val="0"/>
        <w:spacing w:lineRule="auto" w:line="307" w:before="0" w:after="160"/>
        <w:ind w:left="1080" w:right="0" w:hanging="0"/>
        <w:jc w:val="left"/>
        <w:rPr/>
      </w:pPr>
      <w:r>
        <w:rPr/>
        <w:t>​</w:t>
      </w:r>
    </w:p>
    <w:p>
      <w:pPr>
        <w:pStyle w:val="TextBody"/>
        <w:bidi w:val="0"/>
        <w:spacing w:lineRule="auto" w:line="285" w:before="0" w:after="0"/>
        <w:ind w:left="0" w:right="0" w:hanging="0"/>
        <w:jc w:val="left"/>
        <w:rPr>
          <w:rFonts w:ascii="Calibri;Helvetica;sans-serif" w:hAnsi="Calibri;Helvetica;sans-serif"/>
          <w:sz w:val="22"/>
        </w:rPr>
      </w:pPr>
      <w:r>
        <w:rPr>
          <w:rFonts w:ascii="Times New Roman;Times;serif" w:hAnsi="Times New Roman;Times;serif"/>
          <w:b/>
          <w:sz w:val="24"/>
        </w:rPr>
        <w:t>Miscellaneous</w:t>
      </w:r>
      <w:r>
        <w:rPr>
          <w:rFonts w:ascii="Calibri;Helvetica;sans-serif" w:hAnsi="Calibri;Helvetica;sans-serif"/>
          <w:sz w:val="22"/>
          <w:u w:val="single"/>
        </w:rPr>
        <w:t xml:space="preserve"> </w:t>
      </w:r>
    </w:p>
    <w:p>
      <w:pPr>
        <w:pStyle w:val="TextBody"/>
        <w:bidi w:val="0"/>
        <w:spacing w:lineRule="auto" w:line="285" w:before="0" w:after="0"/>
        <w:ind w:left="0" w:right="0" w:hanging="0"/>
        <w:jc w:val="left"/>
        <w:rPr>
          <w:rFonts w:ascii="Calibri;Helvetica;sans-serif" w:hAnsi="Calibri;Helvetica;sans-serif"/>
          <w:sz w:val="22"/>
        </w:rPr>
      </w:pPr>
      <w:r>
        <w:rPr>
          <w:rFonts w:ascii="Times New Roman;Times;serif" w:hAnsi="Times New Roman;Times;serif"/>
          <w:sz w:val="24"/>
        </w:rPr>
        <w:t>Except as modified and amended by this 5</w:t>
      </w:r>
      <w:r>
        <w:rPr>
          <w:rFonts w:ascii="Times New Roman;Times;serif" w:hAnsi="Times New Roman;Times;serif"/>
          <w:sz w:val="18"/>
        </w:rPr>
        <w:t>th</w:t>
      </w:r>
      <w:r>
        <w:rPr>
          <w:rFonts w:ascii="Calibri;Helvetica;sans-serif" w:hAnsi="Calibri;Helvetica;sans-serif"/>
          <w:sz w:val="22"/>
        </w:rPr>
        <w:t xml:space="preserve"> </w:t>
      </w:r>
      <w:r>
        <w:rPr>
          <w:rFonts w:ascii="Times New Roman;Times;serif" w:hAnsi="Times New Roman;Times;serif"/>
          <w:sz w:val="24"/>
        </w:rPr>
        <w:t>Amendment, the Agreement shall remain in full force and effect and in all other respects is ratified and confirmed by the parties.</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i/>
          <w:sz w:val="24"/>
        </w:rPr>
      </w:pPr>
      <w:r>
        <w:rPr>
          <w:rFonts w:ascii="Times New Roman;Times;serif" w:hAnsi="Times New Roman;Times;serif"/>
          <w:i/>
          <w:sz w:val="24"/>
        </w:rPr>
        <w:t>[Signature page follows.]</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Calibri;Helvetica;sans-serif" w:hAnsi="Calibri;Helvetica;sans-serif"/>
          <w:sz w:val="22"/>
        </w:rPr>
      </w:pPr>
      <w:r>
        <w:rPr>
          <w:rFonts w:ascii="Times New Roman;Times;serif" w:hAnsi="Times New Roman;Times;serif"/>
          <w:sz w:val="24"/>
        </w:rPr>
        <w:t>IN WITNESS THEREOF, the parties have caused this 5</w:t>
      </w:r>
      <w:r>
        <w:rPr>
          <w:rFonts w:ascii="Times New Roman;Times;serif" w:hAnsi="Times New Roman;Times;serif"/>
          <w:sz w:val="18"/>
        </w:rPr>
        <w:t>th</w:t>
      </w:r>
      <w:r>
        <w:rPr>
          <w:rFonts w:ascii="Calibri;Helvetica;sans-serif" w:hAnsi="Calibri;Helvetica;sans-serif"/>
          <w:sz w:val="22"/>
        </w:rPr>
        <w:t xml:space="preserve"> </w:t>
      </w:r>
      <w:r>
        <w:rPr>
          <w:rFonts w:ascii="Times New Roman;Times;serif" w:hAnsi="Times New Roman;Times;serif"/>
          <w:sz w:val="24"/>
        </w:rPr>
        <w:t>Amendment to be duly executed by their authorized representatives as of the date set forth in the introductory paragraph of this 5</w:t>
      </w:r>
      <w:r>
        <w:rPr>
          <w:rFonts w:ascii="Times New Roman;Times;serif" w:hAnsi="Times New Roman;Times;serif"/>
          <w:sz w:val="18"/>
        </w:rPr>
        <w:t>th</w:t>
      </w:r>
      <w:r>
        <w:rPr>
          <w:rFonts w:ascii="Calibri;Helvetica;sans-serif" w:hAnsi="Calibri;Helvetica;sans-serif"/>
          <w:sz w:val="22"/>
        </w:rPr>
        <w:t xml:space="preserve"> </w:t>
      </w:r>
      <w:r>
        <w:rPr>
          <w:rFonts w:ascii="Times New Roman;Times;serif" w:hAnsi="Times New Roman;Times;serif"/>
          <w:sz w:val="24"/>
        </w:rPr>
        <w:t>Amendment.</w:t>
      </w:r>
    </w:p>
    <w:p>
      <w:pPr>
        <w:pStyle w:val="TextBody"/>
        <w:bidi w:val="0"/>
        <w:spacing w:lineRule="auto" w:line="307" w:before="0" w:after="160"/>
        <w:ind w:left="0" w:right="0" w:hanging="0"/>
        <w:jc w:val="left"/>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SHIRATORI PHARMACEUTICAL CO., LTD. PTC THERAPEUTICS MP, INC.</w:t>
      </w:r>
    </w:p>
    <w:tbl>
      <w:tblPr>
        <w:tblW w:w="7247" w:type="dxa"/>
        <w:jc w:val="left"/>
        <w:tblInd w:w="0" w:type="dxa"/>
        <w:tblLayout w:type="fixed"/>
        <w:tblCellMar>
          <w:top w:w="28" w:type="dxa"/>
          <w:left w:w="103" w:type="dxa"/>
          <w:bottom w:w="28" w:type="dxa"/>
          <w:right w:w="103" w:type="dxa"/>
        </w:tblCellMar>
      </w:tblPr>
      <w:tblGrid>
        <w:gridCol w:w="2371"/>
        <w:gridCol w:w="4876"/>
      </w:tblGrid>
      <w:tr>
        <w:trPr/>
        <w:tc>
          <w:tcPr>
            <w:tcW w:w="2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/s/ Satoshi Shiratori</w:t>
            </w:r>
          </w:p>
        </w:tc>
        <w:tc>
          <w:tcPr>
            <w:tcW w:w="48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/s/Stefan Sakurai</w:t>
            </w:r>
          </w:p>
        </w:tc>
      </w:tr>
      <w:tr>
        <w:trPr/>
        <w:tc>
          <w:tcPr>
            <w:tcW w:w="2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Name: Satoshi Shiratori</w:t>
            </w:r>
          </w:p>
        </w:tc>
        <w:tc>
          <w:tcPr>
            <w:tcW w:w="48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Name: Stefan Sakurai</w:t>
            </w:r>
          </w:p>
        </w:tc>
      </w:tr>
      <w:tr>
        <w:trPr/>
        <w:tc>
          <w:tcPr>
            <w:tcW w:w="2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Date: 28-April-2023</w:t>
            </w:r>
          </w:p>
        </w:tc>
        <w:tc>
          <w:tcPr>
            <w:tcW w:w="48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Date: 28-April-2023</w:t>
            </w:r>
          </w:p>
        </w:tc>
      </w:tr>
      <w:tr>
        <w:trPr/>
        <w:tc>
          <w:tcPr>
            <w:tcW w:w="2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Title: President</w:t>
            </w:r>
          </w:p>
        </w:tc>
        <w:tc>
          <w:tcPr>
            <w:tcW w:w="48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Title: Japan President and Representative Director</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rFonts w:ascii="Calibri;Helvetica;sans-serif" w:hAnsi="Calibri;Helvetica;sans-serif"/>
          <w:sz w:val="22"/>
        </w:rPr>
      </w:pPr>
      <w:r>
        <w:rPr>
          <w:rFonts w:ascii="Times New Roman;Times;serif" w:hAnsi="Times New Roman;Times;serif"/>
          <w:sz w:val="24"/>
        </w:rPr>
        <w:t>4</w:t>
      </w:r>
      <w:r>
        <w:rPr>
          <w:rFonts w:ascii="Calibri;Helvetica;sans-serif" w:hAnsi="Calibri;Helvetica;sans-serif"/>
          <w:sz w:val="22"/>
        </w:rPr>
        <w:t xml:space="preserve"> </w:t>
      </w:r>
      <w:r>
        <w:rPr>
          <w:rFonts w:ascii="Times New Roman;Times;serif" w:hAnsi="Times New Roman;Times;serif"/>
          <w:sz w:val="24"/>
        </w:rPr>
        <w:t>of 4</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73" w:name="tmb-20230630xex31d1.htm"/>
      <w:bookmarkStart w:id="1774" w:name="kstmb20230630xex31d1"/>
      <w:bookmarkEnd w:id="1773"/>
      <w:bookmarkEnd w:id="1774"/>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Matthew B. Klein,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PTC 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758" w:type="dxa"/>
        <w:jc w:val="center"/>
        <w:tblInd w:w="0" w:type="dxa"/>
        <w:tblLayout w:type="fixed"/>
        <w:tblCellMar>
          <w:top w:w="0" w:type="dxa"/>
          <w:left w:w="0" w:type="dxa"/>
          <w:bottom w:w="0" w:type="dxa"/>
          <w:right w:w="0" w:type="dxa"/>
        </w:tblCellMar>
      </w:tblPr>
      <w:tblGrid>
        <w:gridCol w:w="1846"/>
        <w:gridCol w:w="406"/>
        <w:gridCol w:w="2506"/>
      </w:tblGrid>
      <w:tr>
        <w:trPr/>
        <w:tc>
          <w:tcPr>
            <w:tcW w:w="184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Date: August 3, 2023</w:t>
            </w:r>
          </w:p>
        </w:tc>
        <w:tc>
          <w:tcPr>
            <w:tcW w:w="40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/s/ MATTHEW B. KLEIN</w:t>
            </w:r>
          </w:p>
        </w:tc>
      </w:tr>
      <w:tr>
        <w:trPr/>
        <w:tc>
          <w:tcPr>
            <w:tcW w:w="1846"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506" w:type="dxa"/>
            <w:tcBorders>
              <w:top w:val="single" w:sz="8" w:space="0" w:color="000000"/>
            </w:tcBorders>
            <w:tcMar>
              <w:top w:w="28" w:type="dxa"/>
            </w:tcM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Matthew B. Klein</w:t>
            </w:r>
          </w:p>
        </w:tc>
      </w:tr>
      <w:tr>
        <w:trPr/>
        <w:tc>
          <w:tcPr>
            <w:tcW w:w="1846"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506" w:type="dxa"/>
            <w:tcBorders/>
            <w:vAlign w:val="center"/>
          </w:tcPr>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846" w:type="dxa"/>
            <w:tcBorders/>
            <w:vAlign w:val="center"/>
          </w:tcPr>
          <w:p>
            <w:pPr>
              <w:pStyle w:val="TableContents"/>
              <w:bidi w:val="0"/>
              <w:spacing w:before="0" w:after="30"/>
              <w:ind w:left="0" w:right="0" w:hanging="0"/>
              <w:jc w:val="left"/>
              <w:rPr/>
            </w:pPr>
            <w:r>
              <w:rPr/>
              <w:t> </w:t>
            </w:r>
          </w:p>
        </w:tc>
        <w:tc>
          <w:tcPr>
            <w:tcW w:w="406" w:type="dxa"/>
            <w:tcBorders/>
            <w:vAlign w:val="center"/>
          </w:tcPr>
          <w:p>
            <w:pPr>
              <w:pStyle w:val="TableContents"/>
              <w:bidi w:val="0"/>
              <w:spacing w:before="0" w:after="30"/>
              <w:ind w:left="0" w:right="0" w:hanging="0"/>
              <w:jc w:val="left"/>
              <w:rPr/>
            </w:pPr>
            <w:r>
              <w:rPr/>
              <w:t> </w:t>
            </w:r>
          </w:p>
        </w:tc>
        <w:tc>
          <w:tcPr>
            <w:tcW w:w="2506" w:type="dxa"/>
            <w:tcBorders/>
            <w:vAlign w:val="center"/>
          </w:tcPr>
          <w:p>
            <w:pPr>
              <w:pStyle w:val="TableContents"/>
              <w:bidi w:val="0"/>
              <w:spacing w:before="0" w:after="3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75" w:name="tmb-20230630xex31d2.htm"/>
      <w:bookmarkStart w:id="1776" w:name="kstmb20230630xex31d2"/>
      <w:bookmarkEnd w:id="1775"/>
      <w:bookmarkEnd w:id="1776"/>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Pierre Gravier,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PTC 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773" w:type="dxa"/>
        <w:jc w:val="center"/>
        <w:tblInd w:w="0" w:type="dxa"/>
        <w:tblLayout w:type="fixed"/>
        <w:tblCellMar>
          <w:top w:w="0" w:type="dxa"/>
          <w:left w:w="0" w:type="dxa"/>
          <w:bottom w:w="0" w:type="dxa"/>
          <w:right w:w="0" w:type="dxa"/>
        </w:tblCellMar>
      </w:tblPr>
      <w:tblGrid>
        <w:gridCol w:w="1846"/>
        <w:gridCol w:w="406"/>
        <w:gridCol w:w="252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77" w:name="tmb-20230630xex32d1.htm"/>
      <w:bookmarkStart w:id="1778" w:name="kstmb20230630xex32d1"/>
      <w:bookmarkEnd w:id="1777"/>
      <w:bookmarkEnd w:id="1778"/>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PTC Therapeutics, Inc. (the “Company”) for the period ended June 30, 2023 as filed with the Securities and Exchange Commission on the date hereof (the “Report”), the undersigned, Matthew B. Klein, Chief Executive Officer of the Company, hereby certifies, pursuant to 18 U.S.C. Section 1350, that to his knowledge: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758" w:type="dxa"/>
        <w:jc w:val="center"/>
        <w:tblInd w:w="0" w:type="dxa"/>
        <w:tblLayout w:type="fixed"/>
        <w:tblCellMar>
          <w:top w:w="0" w:type="dxa"/>
          <w:left w:w="0" w:type="dxa"/>
          <w:bottom w:w="0" w:type="dxa"/>
          <w:right w:w="0" w:type="dxa"/>
        </w:tblCellMar>
      </w:tblPr>
      <w:tblGrid>
        <w:gridCol w:w="1846"/>
        <w:gridCol w:w="406"/>
        <w:gridCol w:w="2506"/>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B. KLEIN</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B. Klein</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79" w:name="tmb-20230630xex32d2.htm"/>
      <w:bookmarkStart w:id="1780" w:name="kstmb20230630xex32d2"/>
      <w:bookmarkEnd w:id="1779"/>
      <w:bookmarkEnd w:id="1780"/>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PTC Therapeutics, Inc. (the “Company”) for the period ended June 30, 2023 as filed with the Securities and Exchange Commission on the date hereof (the “Report”), the undersigned, Pierre Gravier, Chief Financial Officer of the Company, hereby certifies, pursuant to 18 U.S.C. Section 1350, that to his knowledge: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6"/>
        </w:rPr>
      </w:pPr>
      <w:r>
        <w:rPr>
          <w:rFonts w:ascii="Times New Roman;Times;serif" w:hAnsi="Times New Roman;Times;serif"/>
          <w:sz w:val="20"/>
        </w:rPr>
        <w:t>(2)</w:t>
      </w:r>
      <w:r>
        <w:rPr>
          <w:rFonts w:ascii="Times New Roman;Times;serif" w:hAnsi="Times New Roman;Times;serif"/>
          <w:sz w:val="6"/>
        </w:rPr>
        <w:t xml:space="preserve">             </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773" w:type="dxa"/>
        <w:jc w:val="center"/>
        <w:tblInd w:w="0" w:type="dxa"/>
        <w:tblLayout w:type="fixed"/>
        <w:tblCellMar>
          <w:top w:w="0" w:type="dxa"/>
          <w:left w:w="0" w:type="dxa"/>
          <w:bottom w:w="0" w:type="dxa"/>
          <w:right w:w="0" w:type="dxa"/>
        </w:tblCellMar>
      </w:tblPr>
      <w:tblGrid>
        <w:gridCol w:w="1846"/>
        <w:gridCol w:w="406"/>
        <w:gridCol w:w="252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Times'"/>
    <w:charset w:val="01"/>
    <w:family w:val="auto"/>
    <w:pitch w:val="default"/>
  </w:font>
  <w:font w:name="Calibri">
    <w:altName w:val="Helvetica"/>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70081/000107008123000015/tmb-20230418xex10d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41236</Words>
  <Characters>227011</Characters>
  <CharactersWithSpaces>270247</CharactersWithSpaces>
  <Paragraphs>6793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