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0001288952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283"/>
              <w:jc w:val="left"/>
              <w:rPr>
                <w:sz w:val="4"/>
                <w:szCs w:val="4"/>
              </w:rPr>
            </w:pPr>
            <w:r>
              <w:rPr>
                <w:sz w:val="4"/>
                <w:szCs w:val="4"/>
              </w:rPr>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Section Six Partners,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Affiliate of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w:t>
              <w:br/>
              <w:t>225 Liberty Street</w:t>
              <w:br/>
              <w:t>Fl 39</w:t>
              <w:br/>
              <w:t>New York   NY   10281</w:t>
            </w:r>
          </w:p>
        </w:tc>
        <w:tc>
          <w:tcPr>
            <w:tcW w:w="1184" w:type="dxa"/>
            <w:tcBorders/>
            <w:vAlign w:val="center"/>
          </w:tcPr>
          <w:p>
            <w:pPr>
              <w:pStyle w:val="TableContents"/>
              <w:bidi w:val="0"/>
              <w:spacing w:before="0" w:after="283"/>
              <w:jc w:val="left"/>
              <w:rPr/>
            </w:pPr>
            <w:r>
              <w:rPr/>
              <w:t>40000</w:t>
            </w:r>
          </w:p>
        </w:tc>
        <w:tc>
          <w:tcPr>
            <w:tcW w:w="1393" w:type="dxa"/>
            <w:tcBorders/>
            <w:vAlign w:val="center"/>
          </w:tcPr>
          <w:p>
            <w:pPr>
              <w:pStyle w:val="TableContents"/>
              <w:bidi w:val="0"/>
              <w:spacing w:before="0" w:after="283"/>
              <w:jc w:val="left"/>
              <w:rPr/>
            </w:pPr>
            <w:r>
              <w:rPr/>
              <w:t>2740000</w:t>
            </w:r>
          </w:p>
        </w:tc>
        <w:tc>
          <w:tcPr>
            <w:tcW w:w="1566" w:type="dxa"/>
            <w:tcBorders/>
            <w:vAlign w:val="center"/>
          </w:tcPr>
          <w:p>
            <w:pPr>
              <w:pStyle w:val="TableContents"/>
              <w:bidi w:val="0"/>
              <w:spacing w:before="0" w:after="283"/>
              <w:jc w:val="left"/>
              <w:rPr/>
            </w:pPr>
            <w:r>
              <w:rPr/>
              <w:t>83460802</w:t>
            </w:r>
          </w:p>
        </w:tc>
        <w:tc>
          <w:tcPr>
            <w:tcW w:w="1575" w:type="dxa"/>
            <w:tcBorders/>
            <w:vAlign w:val="center"/>
          </w:tcPr>
          <w:p>
            <w:pPr>
              <w:pStyle w:val="TableContents"/>
              <w:bidi w:val="0"/>
              <w:spacing w:before="0" w:after="283"/>
              <w:jc w:val="left"/>
              <w:rPr/>
            </w:pPr>
            <w:r>
              <w:rPr/>
              <w:t>09/09/2026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128"/>
        <w:gridCol w:w="1471"/>
        <w:gridCol w:w="1186"/>
        <w:gridCol w:w="527"/>
        <w:gridCol w:w="1128"/>
        <w:gridCol w:w="1181"/>
        <w:gridCol w:w="1069"/>
        <w:gridCol w:w="1388"/>
      </w:tblGrid>
      <w:tr>
        <w:trPr/>
        <w:tc>
          <w:tcPr>
            <w:tcW w:w="1127"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Common</w:t>
            </w:r>
          </w:p>
        </w:tc>
        <w:tc>
          <w:tcPr>
            <w:tcW w:w="1128" w:type="dxa"/>
            <w:tcBorders/>
            <w:vAlign w:val="center"/>
          </w:tcPr>
          <w:p>
            <w:pPr>
              <w:pStyle w:val="TableContents"/>
              <w:bidi w:val="0"/>
              <w:spacing w:before="0" w:after="283"/>
              <w:jc w:val="left"/>
              <w:rPr/>
            </w:pPr>
            <w:r>
              <w:rPr/>
              <w:t>06/25/2013</w:t>
            </w:r>
          </w:p>
        </w:tc>
        <w:tc>
          <w:tcPr>
            <w:tcW w:w="1471" w:type="dxa"/>
            <w:tcBorders/>
            <w:vAlign w:val="center"/>
          </w:tcPr>
          <w:p>
            <w:pPr>
              <w:pStyle w:val="TableContents"/>
              <w:bidi w:val="0"/>
              <w:spacing w:before="0" w:after="283"/>
              <w:jc w:val="left"/>
              <w:rPr/>
            </w:pPr>
            <w:r>
              <w:rPr/>
              <w:t>Automatic Conversion of Preferred Stock into Common Stock Upon IPO</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40000</w:t>
            </w:r>
          </w:p>
        </w:tc>
        <w:tc>
          <w:tcPr>
            <w:tcW w:w="1069" w:type="dxa"/>
            <w:tcBorders/>
            <w:vAlign w:val="center"/>
          </w:tcPr>
          <w:p>
            <w:pPr>
              <w:pStyle w:val="TableContents"/>
              <w:bidi w:val="0"/>
              <w:spacing w:before="0" w:after="283"/>
              <w:jc w:val="left"/>
              <w:rPr/>
            </w:pPr>
            <w:r>
              <w:rPr/>
              <w:t>06/25/2013</w:t>
            </w:r>
          </w:p>
        </w:tc>
        <w:tc>
          <w:tcPr>
            <w:tcW w:w="1388" w:type="dxa"/>
            <w:tcBorders/>
            <w:vAlign w:val="center"/>
          </w:tcPr>
          <w:p>
            <w:pPr>
              <w:pStyle w:val="TableContents"/>
              <w:bidi w:val="0"/>
              <w:spacing w:before="0" w:after="283"/>
              <w:jc w:val="left"/>
              <w:rPr/>
            </w:pPr>
            <w:r>
              <w:rPr/>
              <w:t>Automatic Conversion of Preferred Stock into Common Stock upon IPO (Preferred Stock acquired from Issuer for 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9"/>
        <w:gridCol w:w="2881"/>
        <w:gridCol w:w="932"/>
        <w:gridCol w:w="1544"/>
        <w:gridCol w:w="1739"/>
      </w:tblGrid>
      <w:tr>
        <w:trPr/>
        <w:tc>
          <w:tcPr>
            <w:tcW w:w="3109"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08/19/2026</w:t>
            </w:r>
          </w:p>
        </w:tc>
        <w:tc>
          <w:tcPr>
            <w:tcW w:w="1544" w:type="dxa"/>
            <w:tcBorders/>
            <w:vAlign w:val="center"/>
          </w:tcPr>
          <w:p>
            <w:pPr>
              <w:pStyle w:val="TableContents"/>
              <w:bidi w:val="0"/>
              <w:spacing w:before="0" w:after="283"/>
              <w:jc w:val="left"/>
              <w:rPr/>
            </w:pPr>
            <w:r>
              <w:rPr/>
              <w:t>12500</w:t>
            </w:r>
          </w:p>
        </w:tc>
        <w:tc>
          <w:tcPr>
            <w:tcW w:w="1739" w:type="dxa"/>
            <w:tcBorders/>
            <w:vAlign w:val="center"/>
          </w:tcPr>
          <w:p>
            <w:pPr>
              <w:pStyle w:val="TableContents"/>
              <w:bidi w:val="0"/>
              <w:spacing w:before="0" w:after="283"/>
              <w:jc w:val="left"/>
              <w:rPr/>
            </w:pPr>
            <w:r>
              <w:rPr/>
              <w:t>916553.65</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08/20/2026</w:t>
            </w:r>
          </w:p>
        </w:tc>
        <w:tc>
          <w:tcPr>
            <w:tcW w:w="1544" w:type="dxa"/>
            <w:tcBorders/>
            <w:vAlign w:val="center"/>
          </w:tcPr>
          <w:p>
            <w:pPr>
              <w:pStyle w:val="TableContents"/>
              <w:bidi w:val="0"/>
              <w:spacing w:before="0" w:after="283"/>
              <w:jc w:val="left"/>
              <w:rPr/>
            </w:pPr>
            <w:r>
              <w:rPr/>
              <w:t>12500</w:t>
            </w:r>
          </w:p>
        </w:tc>
        <w:tc>
          <w:tcPr>
            <w:tcW w:w="1739" w:type="dxa"/>
            <w:tcBorders/>
            <w:vAlign w:val="center"/>
          </w:tcPr>
          <w:p>
            <w:pPr>
              <w:pStyle w:val="TableContents"/>
              <w:bidi w:val="0"/>
              <w:spacing w:before="0" w:after="283"/>
              <w:jc w:val="left"/>
              <w:rPr/>
            </w:pPr>
            <w:r>
              <w:rPr/>
              <w:t>888857.74</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08/26/2026</w:t>
            </w:r>
          </w:p>
        </w:tc>
        <w:tc>
          <w:tcPr>
            <w:tcW w:w="1544" w:type="dxa"/>
            <w:tcBorders/>
            <w:vAlign w:val="center"/>
          </w:tcPr>
          <w:p>
            <w:pPr>
              <w:pStyle w:val="TableContents"/>
              <w:bidi w:val="0"/>
              <w:spacing w:before="0" w:after="283"/>
              <w:jc w:val="left"/>
              <w:rPr/>
            </w:pPr>
            <w:r>
              <w:rPr/>
              <w:t>12500</w:t>
            </w:r>
          </w:p>
        </w:tc>
        <w:tc>
          <w:tcPr>
            <w:tcW w:w="1739" w:type="dxa"/>
            <w:tcBorders/>
            <w:vAlign w:val="center"/>
          </w:tcPr>
          <w:p>
            <w:pPr>
              <w:pStyle w:val="TableContents"/>
              <w:bidi w:val="0"/>
              <w:spacing w:before="0" w:after="283"/>
              <w:jc w:val="left"/>
              <w:rPr/>
            </w:pPr>
            <w:r>
              <w:rPr/>
              <w:t>911725.45</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08/27/2026</w:t>
            </w:r>
          </w:p>
        </w:tc>
        <w:tc>
          <w:tcPr>
            <w:tcW w:w="1544" w:type="dxa"/>
            <w:tcBorders/>
            <w:vAlign w:val="center"/>
          </w:tcPr>
          <w:p>
            <w:pPr>
              <w:pStyle w:val="TableContents"/>
              <w:bidi w:val="0"/>
              <w:spacing w:before="0" w:after="283"/>
              <w:jc w:val="left"/>
              <w:rPr/>
            </w:pPr>
            <w:r>
              <w:rPr/>
              <w:t>12500</w:t>
            </w:r>
          </w:p>
        </w:tc>
        <w:tc>
          <w:tcPr>
            <w:tcW w:w="1739" w:type="dxa"/>
            <w:tcBorders/>
            <w:vAlign w:val="center"/>
          </w:tcPr>
          <w:p>
            <w:pPr>
              <w:pStyle w:val="TableContents"/>
              <w:bidi w:val="0"/>
              <w:spacing w:before="0" w:after="283"/>
              <w:jc w:val="left"/>
              <w:rPr/>
            </w:pPr>
            <w:r>
              <w:rPr/>
              <w:t>894783.7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49"/>
        <w:gridCol w:w="7556"/>
      </w:tblGrid>
      <w:tr>
        <w:trPr/>
        <w:tc>
          <w:tcPr>
            <w:tcW w:w="2649" w:type="dxa"/>
            <w:tcBorders/>
            <w:vAlign w:val="center"/>
          </w:tcPr>
          <w:p>
            <w:pPr>
              <w:pStyle w:val="TableContents"/>
              <w:bidi w:val="0"/>
              <w:spacing w:before="0" w:after="283"/>
              <w:jc w:val="left"/>
              <w:rPr/>
            </w:pPr>
            <w:r>
              <w:rPr/>
              <w:t>Remarks</w:t>
            </w:r>
          </w:p>
        </w:tc>
        <w:tc>
          <w:tcPr>
            <w:tcW w:w="7556" w:type="dxa"/>
            <w:tcBorders/>
            <w:vAlign w:val="center"/>
          </w:tcPr>
          <w:p>
            <w:pPr>
              <w:pStyle w:val="TableContents"/>
              <w:bidi w:val="0"/>
              <w:spacing w:before="0" w:after="0"/>
              <w:jc w:val="left"/>
              <w:rPr/>
            </w:pPr>
            <w:r>
              <w:rPr/>
              <w:t>Michael Schmertzler is a member of the Board of Directors of the Issuer. He is also a general partner and limited partner of Section Six Partners, L.P. Mr. Schmertzler disclaims beneficial ownership of the shares held by Section Six Partners, L.P., except to the extent of his pecuniary interest therein.</w:t>
            </w:r>
          </w:p>
        </w:tc>
      </w:tr>
      <w:tr>
        <w:trPr/>
        <w:tc>
          <w:tcPr>
            <w:tcW w:w="2649" w:type="dxa"/>
            <w:tcBorders/>
            <w:vAlign w:val="center"/>
          </w:tcPr>
          <w:p>
            <w:pPr>
              <w:pStyle w:val="TableContents"/>
              <w:bidi w:val="0"/>
              <w:spacing w:before="0" w:after="283"/>
              <w:jc w:val="left"/>
              <w:rPr/>
            </w:pPr>
            <w:r>
              <w:rPr/>
              <w:t>Date of Notice</w:t>
            </w:r>
          </w:p>
        </w:tc>
        <w:tc>
          <w:tcPr>
            <w:tcW w:w="7556" w:type="dxa"/>
            <w:tcBorders/>
            <w:vAlign w:val="center"/>
          </w:tcPr>
          <w:p>
            <w:pPr>
              <w:pStyle w:val="TableContents"/>
              <w:bidi w:val="0"/>
              <w:spacing w:before="0" w:after="0"/>
              <w:jc w:val="left"/>
              <w:rPr/>
            </w:pPr>
            <w:r>
              <w:rPr/>
              <w:t>09/09/2026</w:t>
            </w:r>
          </w:p>
        </w:tc>
      </w:tr>
      <w:tr>
        <w:trPr/>
        <w:tc>
          <w:tcPr>
            <w:tcW w:w="2649" w:type="dxa"/>
            <w:tcBorders/>
            <w:vAlign w:val="center"/>
          </w:tcPr>
          <w:p>
            <w:pPr>
              <w:pStyle w:val="TableContents"/>
              <w:bidi w:val="0"/>
              <w:spacing w:before="0" w:after="283"/>
              <w:jc w:val="left"/>
              <w:rPr/>
            </w:pPr>
            <w:r>
              <w:rPr/>
              <w:t>Date of Plan Adoption or Giving of Instruction, If Relying on Rule 10b5-1</w:t>
            </w:r>
          </w:p>
        </w:tc>
        <w:tc>
          <w:tcPr>
            <w:tcW w:w="7556"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49" w:type="dxa"/>
            <w:tcBorders/>
            <w:vAlign w:val="center"/>
          </w:tcPr>
          <w:p>
            <w:pPr>
              <w:pStyle w:val="TableContents"/>
              <w:bidi w:val="0"/>
              <w:spacing w:before="0" w:after="283"/>
              <w:jc w:val="left"/>
              <w:rPr/>
            </w:pPr>
            <w:r>
              <w:rPr/>
              <w:t>Signature</w:t>
            </w:r>
          </w:p>
        </w:tc>
        <w:tc>
          <w:tcPr>
            <w:tcW w:w="7556" w:type="dxa"/>
            <w:tcBorders/>
            <w:vAlign w:val="center"/>
          </w:tcPr>
          <w:p>
            <w:pPr>
              <w:pStyle w:val="TableContents"/>
              <w:bidi w:val="0"/>
              <w:spacing w:before="0" w:after="0"/>
              <w:jc w:val="left"/>
              <w:rPr/>
            </w:pPr>
            <w:r>
              <w:rPr/>
              <w:t>Michael Schmertzler, as President of S6 GP Holding, LLC, the General Partner of, and on behalf of, Section Six Partners,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3959</Characters>
  <CharactersWithSpaces>4670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