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6_050901.xml.htm"/>
      <w:bookmarkStart w:id="1" w:name="ksform40911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SCHMERTZLER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67.79</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1,327,166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68.67</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1,326,594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67.34</w:t>
            </w:r>
            <w:r>
              <w:rPr>
                <w:rFonts w:ascii="Times;serif" w:hAnsi="Times;serif"/>
                <w:color w:val="008000"/>
                <w:position w:val="7"/>
                <w:sz w:val="16"/>
                <w:sz w:val="20"/>
                <w:shd w:fill="FFFFFF" w:val="clear"/>
              </w:rPr>
              <w:t>(5)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1,316,594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written Rule 10b5-1 plan adopted by Section Six Partners, L.P., of which the Reporting Person is a general partner and limited partner,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the weighted average price of sale transactions that were executed in multiple trades at prices ranging from $67.54 to $68.52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Section Six Partners, L.P. The Reporting Person is a general and limited partner of Section Six Partners, L.P. The Reporting Person disclaims beneficial ownership of the shares of common stock held by Section Six Partners, L.P.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represents the weighted average price of sale transactions that were executed in multiple trades at prices ranging from $68.54 to $68.76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represents the weighted average price of sale transactions that were executed in multiple trades at prices ranging from $66.84 to $67.66 per share. The Reporting Person hereby undertakes, upon request by the SEC staff, the issuer or a security holder of the issuer, to provide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8952"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4605</Characters>
  <CharactersWithSpaces>5371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