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December 29, 2025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PTC THERAPEUTICS, INC.</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Company as Specified in Charter)</w:t>
      </w:r>
    </w:p>
    <w:p>
      <w:pPr>
        <w:sectPr>
          <w:pgSz w:w="11900" w:h="16838" w:orient="portrait"/>
          <w:cols w:equalWidth="0" w:num="1">
            <w:col w:w="9019"/>
          </w:cols>
          <w:pgMar w:left="1440" w:top="880" w:right="1440" w:bottom="1440" w:gutter="0" w:footer="0" w:header="0"/>
        </w:sectPr>
      </w:pPr>
    </w:p>
    <w:p>
      <w:pPr>
        <w:spacing w:after="0" w:line="233"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001-35969</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04-3416587</w:t>
      </w:r>
    </w:p>
    <w:p>
      <w:pPr>
        <w:spacing w:after="0" w:line="28"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5">
            <w:col w:w="2320" w:space="640"/>
            <w:col w:w="340" w:space="720"/>
            <w:col w:w="1240" w:space="720"/>
            <w:col w:w="200" w:space="720"/>
            <w:col w:w="2119"/>
          </w:cols>
          <w:pgMar w:left="1440" w:top="880" w:right="1440" w:bottom="1440" w:gutter="0" w:footer="0" w:header="0"/>
          <w:type w:val="continuous"/>
        </w:sectPr>
      </w:pPr>
    </w:p>
    <w:p>
      <w:pPr>
        <w:spacing w:after="0" w:line="3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500 Warren Corporate Center Drive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4"/>
          <w:szCs w:val="24"/>
          <w:color w:val="auto"/>
        </w:rPr>
      </w:pPr>
    </w:p>
    <w:p>
      <w:pPr>
        <w:sectPr>
          <w:pgSz w:w="11900" w:h="16838" w:orient="portrait"/>
          <w:cols w:equalWidth="0" w:num="2">
            <w:col w:w="3860" w:space="720"/>
            <w:col w:w="4439"/>
          </w:cols>
          <w:pgMar w:left="1440" w:top="880" w:right="1440" w:bottom="1440" w:gutter="0" w:footer="0" w:header="0"/>
          <w:type w:val="continuous"/>
        </w:sect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Warren, NJ</w:t>
      </w:r>
    </w:p>
    <w:p>
      <w:pPr>
        <w:spacing w:after="0" w:line="1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59"/>
        <w:spacing w:after="0"/>
        <w:rPr>
          <w:sz w:val="20"/>
          <w:szCs w:val="20"/>
          <w:color w:val="auto"/>
        </w:rPr>
      </w:pPr>
      <w:r>
        <w:rPr>
          <w:rFonts w:ascii="Times New Roman" w:cs="Times New Roman" w:eastAsia="Times New Roman" w:hAnsi="Times New Roman"/>
          <w:sz w:val="16"/>
          <w:szCs w:val="16"/>
          <w:b w:val="1"/>
          <w:bCs w:val="1"/>
          <w:color w:val="auto"/>
        </w:rPr>
        <w:t>07059</w:t>
      </w:r>
    </w:p>
    <w:p>
      <w:pPr>
        <w:spacing w:after="0" w:line="19" w:lineRule="exact"/>
        <w:rPr>
          <w:sz w:val="24"/>
          <w:szCs w:val="24"/>
          <w:color w:val="auto"/>
        </w:rPr>
      </w:pPr>
    </w:p>
    <w:p>
      <w:pPr>
        <w:jc w:val="center"/>
        <w:ind w:right="2259"/>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5320" w:space="720"/>
            <w:col w:w="2979"/>
          </w:cols>
          <w:pgMar w:left="1440" w:top="880" w:right="1440"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(908) 222-7000</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13" w:lineRule="exact"/>
        <w:rPr>
          <w:sz w:val="24"/>
          <w:szCs w:val="24"/>
          <w:color w:val="auto"/>
        </w:rPr>
      </w:pPr>
    </w:p>
    <w:p>
      <w:pPr>
        <w:ind w:left="60" w:right="579" w:firstLine="648"/>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151" w:lineRule="exact"/>
        <w:rPr>
          <w:sz w:val="24"/>
          <w:szCs w:val="24"/>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1080" w:hanging="382"/>
        <w:spacing w:after="0"/>
        <w:tabs>
          <w:tab w:leader="none" w:pos="10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40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Trading Symbol(s)</w:t>
            </w:r>
          </w:p>
        </w:tc>
        <w:tc>
          <w:tcPr>
            <w:tcW w:w="3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210"/>
        </w:trPr>
        <w:tc>
          <w:tcPr>
            <w:tcW w:w="34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60" w:type="dxa"/>
            <w:vAlign w:val="bottom"/>
          </w:tcPr>
          <w:p>
            <w:pPr>
              <w:spacing w:after="0"/>
              <w:rPr>
                <w:sz w:val="18"/>
                <w:szCs w:val="18"/>
                <w:color w:val="auto"/>
              </w:rPr>
            </w:pPr>
          </w:p>
        </w:tc>
        <w:tc>
          <w:tcPr>
            <w:tcW w:w="17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PTCT</w:t>
            </w:r>
          </w:p>
        </w:tc>
        <w:tc>
          <w:tcPr>
            <w:tcW w:w="180" w:type="dxa"/>
            <w:vAlign w:val="bottom"/>
          </w:tcPr>
          <w:p>
            <w:pPr>
              <w:spacing w:after="0"/>
              <w:rPr>
                <w:sz w:val="18"/>
                <w:szCs w:val="18"/>
                <w:color w:val="auto"/>
              </w:rPr>
            </w:pPr>
          </w:p>
        </w:tc>
        <w:tc>
          <w:tcPr>
            <w:tcW w:w="33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1"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7"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0"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December 29, 2025, PTC Therapeutics, Inc. (the “Company”), Royalty Pharma Investments 2019 ICAV (“RPI”), and, for the limited purposes set forth in the Purchase Agreement (as defined below), Royalty Pharma plc, entered into an Amendment No. 2 to Amended and Restated Royalty Purchase Agreement (the “Amendment”), which amends that certain Amended and Restated Royalty Purchase Agreement, dated as of October 18, 2023, as amended by Amendment No. 1 dated June 17, 2024 (the “Purchase Agreement”).</w:t>
      </w:r>
    </w:p>
    <w:p>
      <w:pPr>
        <w:spacing w:after="0" w:line="183" w:lineRule="exact"/>
        <w:rPr>
          <w:sz w:val="20"/>
          <w:szCs w:val="20"/>
          <w:color w:val="auto"/>
        </w:rPr>
      </w:pPr>
    </w:p>
    <w:p>
      <w:pPr>
        <w:ind w:left="60" w:right="259"/>
        <w:spacing w:after="0" w:line="233" w:lineRule="auto"/>
        <w:rPr>
          <w:sz w:val="20"/>
          <w:szCs w:val="20"/>
          <w:color w:val="auto"/>
        </w:rPr>
      </w:pPr>
      <w:r>
        <w:rPr>
          <w:rFonts w:ascii="Times New Roman" w:cs="Times New Roman" w:eastAsia="Times New Roman" w:hAnsi="Times New Roman"/>
          <w:sz w:val="18"/>
          <w:szCs w:val="18"/>
          <w:color w:val="auto"/>
        </w:rPr>
        <w:t>Under the Purchase Agreement, the Company sold to RPI a certain portion of the Company’s right to receive sales-based royalty payments on worldwide net sales of Roche’s Evrysdi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(risdiplam) product and any other product developed pursuant to the License and Collaboration Agreement, dated as of November 23, 2011, by and among the Company, F. Hoffman-La Roche Ltd, Hoffman-La Roche Inc. (together with F. Hoffman-La Roche Ltd, “Roche”), and, for the limited purposes set forth therein, the Spinal Muscular Atrophy Foundation (such payments, the “Royalty”).</w:t>
      </w:r>
    </w:p>
    <w:p>
      <w:pPr>
        <w:spacing w:after="0" w:line="20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Amendment, on December 29, 2025, the Company sold to RPI its retained interest in the Royalty in exchange for $240.0 million in upfront cash consideration, and three potential additional cash purchase price payments of $20.0 million each conditioned upon receipt by RPI of more than $347.0 million of Assigned Royalty Payments (as defined in the Purchase Agreement) in respect of Calendar Year Net Sales (as defined in the Purchase Agreement) arising in 2027, $363.0 million of Assigned Royalty Payments in respect of Calendar Year Net Sales arising in 2028, and $379.0 million of Assigned Royalty Payments in respect of Calendar Year Net Sales arising in 2029, respectively. The retained interest sold by the Company to RPI pursuant to the Amendment is equal to 9.5111% of the Royalty before the 2020 Assigned Royalty Cap (as defined in the Purchase Agreement) has been met, and 16.6666% of the Royalty from and after such time as the 2020 Assigned Royalty Cap has been met. As a result of the sale, RPI owns 100% of the Royalty and the Company owns 0% of the Royalty.</w:t>
      </w:r>
    </w:p>
    <w:p>
      <w:pPr>
        <w:spacing w:after="0" w:line="194"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Amendment is qualified in its entirety by reference to the full text of the Amendment, which will be filed as an exhibit to the Company’s annual report on Form 10-K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586105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6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PTC Therapeutics, Inc.</w:t>
            </w: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29, 2025</w:t>
            </w:r>
          </w:p>
        </w:tc>
        <w:tc>
          <w:tcPr>
            <w:tcW w:w="1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Pierre Gravier</w:t>
            </w:r>
          </w:p>
        </w:tc>
      </w:tr>
      <w:tr>
        <w:trPr>
          <w:trHeight w:val="191"/>
        </w:trPr>
        <w:tc>
          <w:tcPr>
            <w:tcW w:w="3160" w:type="dxa"/>
            <w:vAlign w:val="bottom"/>
          </w:tcPr>
          <w:p>
            <w:pPr>
              <w:spacing w:after="0"/>
              <w:rPr>
                <w:sz w:val="16"/>
                <w:szCs w:val="16"/>
                <w:color w:val="auto"/>
              </w:rPr>
            </w:pPr>
          </w:p>
        </w:tc>
        <w:tc>
          <w:tcPr>
            <w:tcW w:w="5760" w:type="dxa"/>
            <w:vAlign w:val="bottom"/>
            <w:gridSpan w:val="2"/>
          </w:tcPr>
          <w:p>
            <w:pPr>
              <w:ind w:left="1300"/>
              <w:spacing w:after="0" w:line="191" w:lineRule="exact"/>
              <w:rPr>
                <w:sz w:val="20"/>
                <w:szCs w:val="20"/>
                <w:color w:val="auto"/>
              </w:rPr>
            </w:pPr>
            <w:r>
              <w:rPr>
                <w:rFonts w:ascii="Times New Roman" w:cs="Times New Roman" w:eastAsia="Times New Roman" w:hAnsi="Times New Roman"/>
                <w:sz w:val="18"/>
                <w:szCs w:val="18"/>
                <w:color w:val="auto"/>
              </w:rPr>
              <w:t>Name:Pierre Gravier</w:t>
            </w:r>
          </w:p>
        </w:tc>
      </w:tr>
      <w:tr>
        <w:trPr>
          <w:trHeight w:val="234"/>
        </w:trPr>
        <w:tc>
          <w:tcPr>
            <w:tcW w:w="3160" w:type="dxa"/>
            <w:vAlign w:val="bottom"/>
          </w:tcPr>
          <w:p>
            <w:pPr>
              <w:spacing w:after="0"/>
              <w:rPr>
                <w:sz w:val="20"/>
                <w:szCs w:val="20"/>
                <w:color w:val="auto"/>
              </w:rPr>
            </w:pPr>
          </w:p>
        </w:tc>
        <w:tc>
          <w:tcPr>
            <w:tcW w:w="1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88"/>
        </w:trPr>
        <w:tc>
          <w:tcPr>
            <w:tcW w:w="3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2025-12-29T15:27:46Z</dcterms:created>
  <dcterms:modified xsi:type="dcterms:W3CDTF">2025-12-29T15:27:46Z</dcterms:modified>
</cp:coreProperties>
</file>